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overflowPunct w:val="0"/>
        <w:topLinePunct/>
        <w:spacing w:line="600" w:lineRule="exact"/>
        <w:jc w:val="left"/>
        <w:rPr>
          <w:rFonts w:ascii="Times New Roman" w:hAnsi="Times New Roman" w:eastAsia="黑体"/>
          <w:sz w:val="32"/>
          <w:szCs w:val="32"/>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第三轮省级生态环境保护督察第</w:t>
      </w:r>
      <w:r>
        <w:rPr>
          <w:rFonts w:hint="eastAsia" w:ascii="Times New Roman" w:hAnsi="Times New Roman" w:eastAsia="方正小标宋简体"/>
          <w:sz w:val="44"/>
          <w:szCs w:val="44"/>
          <w:lang w:val="en-US" w:eastAsia="zh-CN"/>
        </w:rPr>
        <w:t>三</w:t>
      </w:r>
      <w:r>
        <w:rPr>
          <w:rFonts w:hint="eastAsia" w:ascii="Times New Roman" w:hAnsi="Times New Roman" w:eastAsia="方正小标宋简体"/>
          <w:sz w:val="44"/>
          <w:szCs w:val="44"/>
        </w:rPr>
        <w:t>项</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整改任务完成情况表</w:t>
      </w:r>
    </w:p>
    <w:p>
      <w:pPr>
        <w:overflowPunct w:val="0"/>
        <w:topLinePunct/>
        <w:spacing w:line="600" w:lineRule="exact"/>
        <w:jc w:val="center"/>
        <w:rPr>
          <w:rFonts w:ascii="Times New Roman" w:hAnsi="Times New Roman" w:eastAsia="仿宋_GB2312"/>
          <w:sz w:val="32"/>
          <w:szCs w:val="32"/>
        </w:rPr>
      </w:pPr>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1"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整改任务</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2021年，交通运输厅出台《关于进一步加强和规范我省高速公路建</w:t>
            </w:r>
            <w:bookmarkStart w:id="0" w:name="_GoBack"/>
            <w:bookmarkEnd w:id="0"/>
            <w:r>
              <w:rPr>
                <w:rFonts w:hint="eastAsia" w:ascii="Times New Roman" w:hAnsi="Times New Roman" w:eastAsia="仿宋_GB2312" w:cs="Times New Roman"/>
                <w:sz w:val="32"/>
                <w:szCs w:val="32"/>
              </w:rPr>
              <w:t>设项目环境保护费用管理工作的通知》，但部分项目未严格落实环境保护专项费用相关要求，项目环保资金预算不足，环保运维资金保障不力。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80"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整改责任单位</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四川高速公路建设开发集团有限公司、四川成渝高速公路股份有限公司、四川蜀道高速公路集团有限公司、四川藏区高速公路有限责任公司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3"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整改目标</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规范高速公路建设项目环境保护费用计列，保障环保投入。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6"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整改措施</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1.2023年8月底前，完成在建高速公路项目环保费用情况核查，制定环保费用调整计划，保障环保资金投入。</w:t>
            </w:r>
          </w:p>
          <w:p>
            <w:p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2.新开工高速公路项目在概预算中单独计列环保费用。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5"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整改主要工作</w:t>
            </w:r>
          </w:p>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及成效</w:t>
            </w:r>
          </w:p>
        </w:tc>
        <w:tc>
          <w:tcPr>
            <w:tcW w:w="6118" w:type="dxa"/>
            <w:tcBorders>
              <w:top w:val="single" w:color="auto" w:sz="4" w:space="0"/>
              <w:left w:val="nil"/>
              <w:bottom w:val="single" w:color="auto" w:sz="4" w:space="0"/>
              <w:right w:val="single" w:color="auto" w:sz="4" w:space="0"/>
            </w:tcBorders>
            <w:vAlign w:val="center"/>
          </w:tcPr>
          <w:p>
            <w:pPr>
              <w:numPr>
                <w:ilvl w:val="0"/>
                <w:numId w:val="0"/>
              </w:numPr>
              <w:overflowPunct w:val="0"/>
              <w:topLinePunct/>
              <w:spacing w:line="5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按四川省</w:t>
            </w:r>
            <w:r>
              <w:rPr>
                <w:rFonts w:hint="eastAsia" w:ascii="Times New Roman" w:hAnsi="Times New Roman" w:eastAsia="仿宋_GB2312" w:cs="Times New Roman"/>
                <w:sz w:val="32"/>
                <w:szCs w:val="32"/>
              </w:rPr>
              <w:t>交通运输厅《关于进一步加强和规范我省高速公路建设项目环境保护费用管理工作的通知》</w:t>
            </w:r>
            <w:r>
              <w:rPr>
                <w:rFonts w:hint="eastAsia" w:ascii="Times New Roman" w:hAnsi="Times New Roman" w:eastAsia="仿宋_GB2312" w:cs="Times New Roman"/>
                <w:sz w:val="32"/>
                <w:szCs w:val="32"/>
                <w:lang w:val="en-US" w:eastAsia="zh-CN"/>
              </w:rPr>
              <w:t>要求</w:t>
            </w:r>
          </w:p>
          <w:p>
            <w:pPr>
              <w:numPr>
                <w:ilvl w:val="0"/>
                <w:numId w:val="0"/>
              </w:num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1、在建项目严格按合同及时支付相关费用，同时结合环保要求，确需增加费用的，履行相关变更程序。</w:t>
            </w:r>
          </w:p>
          <w:p>
            <w:pPr>
              <w:numPr>
                <w:ilvl w:val="0"/>
                <w:numId w:val="0"/>
              </w:numPr>
              <w:overflowPunct w:val="0"/>
              <w:topLinePunct/>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2、新开工项目在清单中按文件要求预估费用，确保费用不遗漏，同时积极向省交通运输厅申请在概预算中计列</w:t>
            </w:r>
            <w:r>
              <w:rPr>
                <w:rFonts w:ascii="Times New Roman" w:hAnsi="Times New Roman" w:eastAsia="仿宋_GB2312" w:cs="Times New Roman"/>
                <w:sz w:val="32"/>
                <w:szCs w:val="32"/>
              </w:rPr>
              <w:t>。</w:t>
            </w:r>
          </w:p>
        </w:tc>
      </w:tr>
    </w:tbl>
    <w:p>
      <w:pPr>
        <w:jc w:val="left"/>
      </w:pP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18729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OTI3MTJmZDg1OTg3ZjRlYjc1Yzc4Mjk1MTA5NWUifQ=="/>
  </w:docVars>
  <w:rsids>
    <w:rsidRoot w:val="000C6261"/>
    <w:rsid w:val="000C6261"/>
    <w:rsid w:val="0010415A"/>
    <w:rsid w:val="001F74FE"/>
    <w:rsid w:val="002E5D3D"/>
    <w:rsid w:val="00461A07"/>
    <w:rsid w:val="00502749"/>
    <w:rsid w:val="0059130B"/>
    <w:rsid w:val="005B7A3D"/>
    <w:rsid w:val="005C3374"/>
    <w:rsid w:val="005F5005"/>
    <w:rsid w:val="0064361E"/>
    <w:rsid w:val="007E522F"/>
    <w:rsid w:val="00A64417"/>
    <w:rsid w:val="00AC23AF"/>
    <w:rsid w:val="00B156E7"/>
    <w:rsid w:val="00BA7A05"/>
    <w:rsid w:val="00DA11A7"/>
    <w:rsid w:val="00F120EE"/>
    <w:rsid w:val="0425516C"/>
    <w:rsid w:val="0B8D3436"/>
    <w:rsid w:val="11DA2EB6"/>
    <w:rsid w:val="145558DC"/>
    <w:rsid w:val="1C097BD2"/>
    <w:rsid w:val="21381B88"/>
    <w:rsid w:val="28EB15A6"/>
    <w:rsid w:val="38DB7042"/>
    <w:rsid w:val="392F63B0"/>
    <w:rsid w:val="48E55F9B"/>
    <w:rsid w:val="49E95F39"/>
    <w:rsid w:val="4E85066E"/>
    <w:rsid w:val="580B069D"/>
    <w:rsid w:val="5F3638D3"/>
    <w:rsid w:val="5F515624"/>
    <w:rsid w:val="6DE81942"/>
    <w:rsid w:val="72A877B4"/>
    <w:rsid w:val="76D10440"/>
    <w:rsid w:val="78ED3CDF"/>
    <w:rsid w:val="7CDE2DA0"/>
    <w:rsid w:val="7EB22F75"/>
    <w:rsid w:val="7FF4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index 8"/>
    <w:basedOn w:val="1"/>
    <w:next w:val="1"/>
    <w:semiHidden/>
    <w:qFormat/>
    <w:uiPriority w:val="99"/>
    <w:pPr>
      <w:ind w:left="2940"/>
    </w:pPr>
  </w:style>
  <w:style w:type="paragraph" w:styleId="4">
    <w:name w:val="Salutation"/>
    <w:basedOn w:val="1"/>
    <w:next w:val="1"/>
    <w:qFormat/>
    <w:uiPriority w:val="99"/>
    <w:rPr>
      <w:rFonts w:ascii="Calibri" w:hAnsi="Calibri" w:eastAsia="宋体" w:cs="黑体"/>
    </w:rPr>
  </w:style>
  <w:style w:type="paragraph" w:styleId="5">
    <w:name w:val="Body Text"/>
    <w:basedOn w:val="1"/>
    <w:next w:val="3"/>
    <w:qFormat/>
    <w:uiPriority w:val="0"/>
    <w:pPr>
      <w:widowControl/>
      <w:spacing w:line="360" w:lineRule="auto"/>
      <w:jc w:val="left"/>
    </w:pPr>
    <w:rPr>
      <w:rFonts w:ascii="Calibri" w:hAnsi="Calibri" w:eastAsia="宋体" w:cs="Times New Roman"/>
      <w:color w:val="000000"/>
      <w:kern w:val="0"/>
      <w:sz w:val="24"/>
      <w:szCs w:val="24"/>
      <w:lang w:eastAsia="en-US" w:bidi="en-US"/>
    </w:r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11"/>
    <w:link w:val="7"/>
    <w:qFormat/>
    <w:uiPriority w:val="99"/>
    <w:rPr>
      <w:rFonts w:asciiTheme="minorHAnsi" w:hAnsiTheme="minorHAnsi" w:eastAsiaTheme="minorEastAsia" w:cstheme="minorBidi"/>
      <w:kern w:val="2"/>
      <w:sz w:val="18"/>
      <w:szCs w:val="22"/>
    </w:rPr>
  </w:style>
  <w:style w:type="character" w:customStyle="1" w:styleId="13">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1E8A-D9C2-4EC0-8311-B89A3D3C700D}">
  <ds:schemaRefs/>
</ds:datastoreItem>
</file>

<file path=docProps/app.xml><?xml version="1.0" encoding="utf-8"?>
<Properties xmlns="http://schemas.openxmlformats.org/officeDocument/2006/extended-properties" xmlns:vt="http://schemas.openxmlformats.org/officeDocument/2006/docPropsVTypes">
  <Template>Normal</Template>
  <Pages>3</Pages>
  <Words>129</Words>
  <Characters>739</Characters>
  <Lines>6</Lines>
  <Paragraphs>1</Paragraphs>
  <TotalTime>3</TotalTime>
  <ScaleCrop>false</ScaleCrop>
  <LinksUpToDate>false</LinksUpToDate>
  <CharactersWithSpaces>867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2023-07-31T08:36:00Z</dcterms:created>
  <dc:creator>ME</dc:creator>
  <cp:lastModifiedBy>创企科技</cp:lastModifiedBy>
  <cp:lastPrinted>2023-09-28T03:54:00Z</cp:lastPrinted>
  <dcterms:modified xsi:type="dcterms:W3CDTF">2023-09-28T09:46:22Z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C63CD95F9AFB451AAC45B259AF6A294D_13</vt:lpwstr>
  </property>
</Properties>
</file>