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left"/>
        <w:rPr>
          <w:rFonts w:ascii="Times New Roman" w:hAnsi="Times New Roman" w:eastAsia="黑体"/>
          <w:sz w:val="32"/>
          <w:szCs w:val="32"/>
        </w:rPr>
      </w:pPr>
      <w:r>
        <w:rPr>
          <w:rFonts w:hint="eastAsia" w:ascii="Times New Roman" w:hAnsi="Times New Roman" w:eastAsia="黑体"/>
          <w:sz w:val="32"/>
          <w:szCs w:val="32"/>
        </w:rPr>
        <w:t>附件</w:t>
      </w:r>
    </w:p>
    <w:p>
      <w:pPr>
        <w:overflowPunct w:val="0"/>
        <w:topLinePunct/>
        <w:spacing w:line="600" w:lineRule="exact"/>
        <w:jc w:val="left"/>
        <w:rPr>
          <w:rFonts w:ascii="Times New Roman" w:hAnsi="Times New Roman" w:eastAsia="黑体"/>
          <w:sz w:val="32"/>
          <w:szCs w:val="32"/>
        </w:rPr>
      </w:pPr>
    </w:p>
    <w:p>
      <w:pPr>
        <w:overflowPunct w:val="0"/>
        <w:topLinePunct/>
        <w:spacing w:line="60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第三轮省级生态环境保护督察第二十六项</w:t>
      </w: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整改任务完成情况表</w:t>
      </w:r>
    </w:p>
    <w:bookmarkEnd w:id="0"/>
    <w:p>
      <w:pPr>
        <w:overflowPunct w:val="0"/>
        <w:topLinePunct/>
        <w:spacing w:line="600" w:lineRule="exact"/>
        <w:jc w:val="center"/>
        <w:rPr>
          <w:rFonts w:ascii="Times New Roman" w:hAnsi="Times New Roman" w:eastAsia="仿宋_GB2312"/>
          <w:sz w:val="32"/>
          <w:szCs w:val="32"/>
        </w:rPr>
      </w:pPr>
    </w:p>
    <w:tbl>
      <w:tblPr>
        <w:tblStyle w:val="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716"/>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1"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整改任务</w:t>
            </w:r>
          </w:p>
        </w:tc>
        <w:tc>
          <w:tcPr>
            <w:tcW w:w="6118" w:type="dxa"/>
            <w:tcBorders>
              <w:top w:val="single" w:color="auto" w:sz="4" w:space="0"/>
              <w:left w:val="nil"/>
              <w:bottom w:val="single" w:color="auto" w:sz="4" w:space="0"/>
              <w:right w:val="single" w:color="auto" w:sz="4" w:space="0"/>
            </w:tcBorders>
            <w:vAlign w:val="center"/>
          </w:tcPr>
          <w:p>
            <w:pPr>
              <w:overflowPunct w:val="0"/>
              <w:topLinePunct/>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部分下属企业不顾生态管控要求，突破生态红线，落实生态保护措施变形走样。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2"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整改责任单位</w:t>
            </w:r>
          </w:p>
        </w:tc>
        <w:tc>
          <w:tcPr>
            <w:tcW w:w="6118" w:type="dxa"/>
            <w:tcBorders>
              <w:top w:val="single" w:color="auto" w:sz="4" w:space="0"/>
              <w:left w:val="nil"/>
              <w:bottom w:val="single" w:color="auto" w:sz="4" w:space="0"/>
              <w:right w:val="single" w:color="auto" w:sz="4" w:space="0"/>
            </w:tcBorders>
            <w:vAlign w:val="center"/>
          </w:tcPr>
          <w:p>
            <w:pPr>
              <w:overflowPunct w:val="0"/>
              <w:topLinePunct/>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高速公路建设开发集团有限公司、四川成渝高速公路股份有限公司、四川蜀道高速公路集团有限公司、四川藏区高速公路有限责任公司、四川蜀道铁路投资集团有限责任公司、四川蜀道新制式轨道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8"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整改目标</w:t>
            </w:r>
          </w:p>
        </w:tc>
        <w:tc>
          <w:tcPr>
            <w:tcW w:w="6118" w:type="dxa"/>
            <w:tcBorders>
              <w:top w:val="single" w:color="auto" w:sz="4" w:space="0"/>
              <w:left w:val="nil"/>
              <w:bottom w:val="single" w:color="auto" w:sz="4" w:space="0"/>
              <w:right w:val="single" w:color="auto" w:sz="4" w:space="0"/>
            </w:tcBorders>
            <w:vAlign w:val="center"/>
          </w:tcPr>
          <w:p>
            <w:pPr>
              <w:overflowPunct w:val="0"/>
              <w:topLinePunct/>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强化重大生态环境风险管控，严格落实生态环境保护措施，有效防范侵占生态红线。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6"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整改措施</w:t>
            </w:r>
          </w:p>
        </w:tc>
        <w:tc>
          <w:tcPr>
            <w:tcW w:w="6118" w:type="dxa"/>
            <w:tcBorders>
              <w:top w:val="single" w:color="auto" w:sz="4" w:space="0"/>
              <w:left w:val="nil"/>
              <w:bottom w:val="single" w:color="auto" w:sz="4" w:space="0"/>
              <w:right w:val="single" w:color="auto" w:sz="4" w:space="0"/>
            </w:tcBorders>
            <w:vAlign w:val="center"/>
          </w:tcPr>
          <w:p>
            <w:pPr>
              <w:overflowPunct w:val="0"/>
              <w:topLinePunct/>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1.2023年6月底前，针对建设项目生态环境敏感区，建立重大生态环境风险清单，制定防范管控举措，强化措施落实。</w:t>
            </w:r>
          </w:p>
          <w:p>
            <w:pPr>
              <w:overflowPunct w:val="0"/>
              <w:topLinePunct/>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2.加强对重大环境风险及防范举措的督导检查，对发现的问题及时通报，跟踪督办整改。</w:t>
            </w:r>
          </w:p>
          <w:p>
            <w:pPr>
              <w:overflowPunct w:val="0"/>
              <w:topLinePunct/>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3.对因突破生态红线、落实生态保护措施变形走样而导致发生生态环境突出问题的建设项目，及时启动约谈、调查问责等惩处措施。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5"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整改主要工作</w:t>
            </w:r>
          </w:p>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及成效</w:t>
            </w:r>
          </w:p>
        </w:tc>
        <w:tc>
          <w:tcPr>
            <w:tcW w:w="6118" w:type="dxa"/>
            <w:tcBorders>
              <w:top w:val="single" w:color="auto" w:sz="4" w:space="0"/>
              <w:left w:val="nil"/>
              <w:bottom w:val="single" w:color="auto" w:sz="4" w:space="0"/>
              <w:right w:val="single" w:color="auto" w:sz="4" w:space="0"/>
            </w:tcBorders>
            <w:vAlign w:val="center"/>
          </w:tcPr>
          <w:p>
            <w:pPr>
              <w:overflowPunct w:val="0"/>
              <w:topLinePunct/>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各责任单位均建立了重大环境风险管控清单，加强对重大环境风险及防范举措的督导检查、通报整改，对因突破生态红线、落实生态保护措施变形走样而导致发生生态环境突出问题的建设项目进行了惩处措施。</w:t>
            </w:r>
          </w:p>
        </w:tc>
      </w:tr>
    </w:tbl>
    <w:p>
      <w:pPr>
        <w:overflowPunct w:val="0"/>
        <w:topLinePunct/>
        <w:spacing w:line="572" w:lineRule="exact"/>
        <w:rPr>
          <w:rFonts w:ascii="Times New Roman" w:hAnsi="Times New Roman" w:eastAsia="仿宋_GB2312"/>
          <w:sz w:val="32"/>
          <w:szCs w:val="32"/>
        </w:rPr>
        <w:sectPr>
          <w:footerReference r:id="rId3" w:type="default"/>
          <w:pgSz w:w="11906" w:h="16838"/>
          <w:pgMar w:top="2098" w:right="1474" w:bottom="1984" w:left="1587" w:header="851" w:footer="992" w:gutter="0"/>
          <w:pgNumType w:start="1"/>
          <w:cols w:space="425" w:num="1"/>
          <w:docGrid w:type="lines" w:linePitch="312" w:charSpace="0"/>
        </w:sectPr>
      </w:pPr>
    </w:p>
    <w:p/>
    <w:sectPr>
      <w:footerReference r:id="rId4"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137219"/>
    </w:sdtPr>
    <w:sdtContent>
      <w:p>
        <w:pPr>
          <w:pStyle w:val="7"/>
          <w:jc w:val="center"/>
        </w:pP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18729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kY2I5MGMwZGY0OGIyZDI0OGZkNjQzMGUwYTE2MDgifQ=="/>
  </w:docVars>
  <w:rsids>
    <w:rsidRoot w:val="000C6261"/>
    <w:rsid w:val="000C6261"/>
    <w:rsid w:val="0010415A"/>
    <w:rsid w:val="001F74FE"/>
    <w:rsid w:val="002E5D3D"/>
    <w:rsid w:val="00461A07"/>
    <w:rsid w:val="00502749"/>
    <w:rsid w:val="0059130B"/>
    <w:rsid w:val="005B7A3D"/>
    <w:rsid w:val="005C3374"/>
    <w:rsid w:val="005F5005"/>
    <w:rsid w:val="0064361E"/>
    <w:rsid w:val="007E522F"/>
    <w:rsid w:val="00A64417"/>
    <w:rsid w:val="00AC23AF"/>
    <w:rsid w:val="00B156E7"/>
    <w:rsid w:val="00BA7A05"/>
    <w:rsid w:val="00DA11A7"/>
    <w:rsid w:val="00F120EE"/>
    <w:rsid w:val="0425516C"/>
    <w:rsid w:val="0B8D3436"/>
    <w:rsid w:val="11DA2EB6"/>
    <w:rsid w:val="145558DC"/>
    <w:rsid w:val="1C097BD2"/>
    <w:rsid w:val="28EB15A6"/>
    <w:rsid w:val="392F63B0"/>
    <w:rsid w:val="49E95F39"/>
    <w:rsid w:val="4E85066E"/>
    <w:rsid w:val="580B069D"/>
    <w:rsid w:val="5F3638D3"/>
    <w:rsid w:val="5F515624"/>
    <w:rsid w:val="72A877B4"/>
    <w:rsid w:val="76D10440"/>
    <w:rsid w:val="78ED3CDF"/>
    <w:rsid w:val="7CDE2DA0"/>
    <w:rsid w:val="7FF40DAA"/>
    <w:rsid w:val="FD7F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index 8"/>
    <w:basedOn w:val="1"/>
    <w:next w:val="1"/>
    <w:semiHidden/>
    <w:qFormat/>
    <w:uiPriority w:val="99"/>
    <w:pPr>
      <w:ind w:left="2940"/>
    </w:pPr>
  </w:style>
  <w:style w:type="paragraph" w:styleId="4">
    <w:name w:val="Salutation"/>
    <w:basedOn w:val="1"/>
    <w:next w:val="1"/>
    <w:qFormat/>
    <w:uiPriority w:val="99"/>
    <w:rPr>
      <w:rFonts w:ascii="Calibri" w:hAnsi="Calibri" w:eastAsia="宋体" w:cs="黑体"/>
    </w:rPr>
  </w:style>
  <w:style w:type="paragraph" w:styleId="5">
    <w:name w:val="Body Text"/>
    <w:basedOn w:val="1"/>
    <w:next w:val="3"/>
    <w:qFormat/>
    <w:uiPriority w:val="0"/>
    <w:pPr>
      <w:widowControl/>
      <w:spacing w:line="360" w:lineRule="auto"/>
      <w:jc w:val="left"/>
    </w:pPr>
    <w:rPr>
      <w:rFonts w:ascii="Calibri" w:hAnsi="Calibri" w:eastAsia="宋体" w:cs="Times New Roman"/>
      <w:color w:val="000000"/>
      <w:kern w:val="0"/>
      <w:sz w:val="24"/>
      <w:szCs w:val="24"/>
      <w:lang w:eastAsia="en-US" w:bidi="en-US"/>
    </w:rPr>
  </w:style>
  <w:style w:type="paragraph" w:styleId="6">
    <w:name w:val="Balloon Text"/>
    <w:basedOn w:val="1"/>
    <w:link w:val="13"/>
    <w:qFormat/>
    <w:uiPriority w:val="0"/>
    <w:rPr>
      <w:sz w:val="18"/>
      <w:szCs w:val="18"/>
    </w:rPr>
  </w:style>
  <w:style w:type="paragraph" w:styleId="7">
    <w:name w:val="footer"/>
    <w:basedOn w:val="1"/>
    <w:link w:val="12"/>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
    <w:basedOn w:val="11"/>
    <w:link w:val="7"/>
    <w:qFormat/>
    <w:uiPriority w:val="99"/>
    <w:rPr>
      <w:rFonts w:asciiTheme="minorHAnsi" w:hAnsiTheme="minorHAnsi" w:eastAsiaTheme="minorEastAsia" w:cstheme="minorBidi"/>
      <w:kern w:val="2"/>
      <w:sz w:val="18"/>
      <w:szCs w:val="22"/>
    </w:rPr>
  </w:style>
  <w:style w:type="character" w:customStyle="1" w:styleId="13">
    <w:name w:val="批注框文本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Words>
  <Characters>739</Characters>
  <Lines>6</Lines>
  <Paragraphs>1</Paragraphs>
  <TotalTime>0</TotalTime>
  <ScaleCrop>false</ScaleCrop>
  <LinksUpToDate>false</LinksUpToDate>
  <CharactersWithSpaces>867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2023-07-31T16:36:00Z</dcterms:created>
  <dc:creator>ME</dc:creator>
  <cp:lastModifiedBy>霞</cp:lastModifiedBy>
  <cp:lastPrinted>2023-07-31T16:18:00Z</cp:lastPrinted>
  <dcterms:modified xsi:type="dcterms:W3CDTF">2023-07-31T20:35:54Z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0C2338FD7CA6AD10AAAAC7646AFA388E</vt:lpwstr>
  </property>
</Properties>
</file>