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line="360" w:lineRule="exact"/>
        <w:rPr>
          <w:rFonts w:hint="default" w:ascii="Times New Roman" w:hAnsi="Times New Roman" w:eastAsia="黑体" w:cs="Times New Roman"/>
          <w:spacing w:val="40"/>
          <w:sz w:val="28"/>
          <w:szCs w:val="28"/>
        </w:rPr>
      </w:pPr>
      <w:r>
        <w:rPr>
          <w:rFonts w:hint="default" w:ascii="Times New Roman" w:hAnsi="Times New Roman" w:eastAsia="黑体" w:cs="Times New Roman"/>
          <w:spacing w:val="40"/>
          <w:sz w:val="28"/>
          <w:szCs w:val="28"/>
        </w:rPr>
        <w:t>附件：</w:t>
      </w:r>
    </w:p>
    <w:p>
      <w:pPr>
        <w:adjustRightInd w:val="0"/>
        <w:snapToGrid w:val="0"/>
        <w:spacing w:line="0" w:lineRule="atLeast"/>
        <w:rPr>
          <w:rFonts w:hint="default" w:ascii="Times New Roman" w:hAnsi="Times New Roman" w:eastAsia="方正小标宋_GBK" w:cs="Times New Roman"/>
          <w:b/>
          <w:sz w:val="44"/>
          <w:szCs w:val="44"/>
        </w:rPr>
      </w:pPr>
    </w:p>
    <w:p>
      <w:pPr>
        <w:adjustRightInd w:val="0"/>
        <w:snapToGrid w:val="0"/>
        <w:spacing w:line="0" w:lineRule="atLeast"/>
        <w:rPr>
          <w:rFonts w:hint="default" w:ascii="Times New Roman" w:hAnsi="Times New Roman" w:eastAsia="方正小标宋_GBK" w:cs="Times New Roman"/>
          <w:b/>
          <w:sz w:val="44"/>
          <w:szCs w:val="44"/>
        </w:rPr>
      </w:pPr>
    </w:p>
    <w:p>
      <w:pPr>
        <w:adjustRightInd w:val="0"/>
        <w:snapToGrid w:val="0"/>
        <w:spacing w:line="0" w:lineRule="atLeast"/>
        <w:rPr>
          <w:rFonts w:hint="default" w:ascii="Times New Roman" w:hAnsi="Times New Roman" w:eastAsia="方正小标宋_GBK" w:cs="Times New Roman"/>
          <w:b/>
          <w:sz w:val="44"/>
          <w:szCs w:val="44"/>
        </w:rPr>
      </w:pPr>
    </w:p>
    <w:p>
      <w:pPr>
        <w:adjustRightInd w:val="0"/>
        <w:snapToGrid w:val="0"/>
        <w:spacing w:line="0" w:lineRule="atLeast"/>
        <w:jc w:val="distribute"/>
        <w:rPr>
          <w:rFonts w:hint="default" w:ascii="Times New Roman" w:hAnsi="Times New Roman" w:eastAsia="方正小标宋_GBK" w:cs="Times New Roman"/>
          <w:b/>
          <w:sz w:val="48"/>
          <w:szCs w:val="48"/>
        </w:rPr>
      </w:pPr>
    </w:p>
    <w:p>
      <w:pPr>
        <w:adjustRightInd w:val="0"/>
        <w:snapToGrid w:val="0"/>
        <w:spacing w:line="480" w:lineRule="auto"/>
        <w:jc w:val="center"/>
        <w:rPr>
          <w:rFonts w:hint="default" w:ascii="Times New Roman" w:hAnsi="Times New Roman" w:cs="Times New Roman"/>
          <w:b/>
          <w:sz w:val="44"/>
          <w:szCs w:val="44"/>
        </w:rPr>
      </w:pPr>
      <w:r>
        <w:rPr>
          <w:rFonts w:hint="default" w:ascii="Times New Roman" w:hAnsi="Times New Roman" w:eastAsia="方正小标宋简体" w:cs="Times New Roman"/>
          <w:b/>
          <w:bCs/>
          <w:spacing w:val="20"/>
          <w:sz w:val="44"/>
          <w:szCs w:val="44"/>
          <w:lang w:val="en-US" w:eastAsia="zh-CN"/>
        </w:rPr>
        <w:t>四川</w:t>
      </w:r>
      <w:r>
        <w:rPr>
          <w:rFonts w:hint="default" w:ascii="Times New Roman" w:hAnsi="Times New Roman" w:eastAsia="方正小标宋简体" w:cs="Times New Roman"/>
          <w:b/>
          <w:bCs/>
          <w:spacing w:val="20"/>
          <w:sz w:val="44"/>
          <w:szCs w:val="44"/>
        </w:rPr>
        <w:t>蜀道物流集团</w:t>
      </w:r>
      <w:r>
        <w:rPr>
          <w:rFonts w:hint="default" w:ascii="Times New Roman" w:hAnsi="Times New Roman" w:eastAsia="方正小标宋简体" w:cs="Times New Roman"/>
          <w:b/>
          <w:bCs/>
          <w:spacing w:val="20"/>
          <w:sz w:val="44"/>
          <w:szCs w:val="44"/>
          <w:lang w:val="en-US" w:eastAsia="zh-CN"/>
        </w:rPr>
        <w:t>有限</w:t>
      </w:r>
      <w:r>
        <w:rPr>
          <w:rFonts w:hint="default" w:ascii="Times New Roman" w:hAnsi="Times New Roman" w:eastAsia="方正小标宋简体" w:cs="Times New Roman"/>
          <w:b/>
          <w:bCs/>
          <w:spacing w:val="20"/>
          <w:sz w:val="44"/>
          <w:szCs w:val="44"/>
        </w:rPr>
        <w:t>公司</w:t>
      </w:r>
    </w:p>
    <w:p>
      <w:pPr>
        <w:adjustRightInd w:val="0"/>
        <w:snapToGrid w:val="0"/>
        <w:spacing w:line="480" w:lineRule="auto"/>
        <w:rPr>
          <w:rFonts w:hint="default" w:ascii="Times New Roman" w:hAnsi="Times New Roman" w:cs="Times New Roman"/>
          <w:b/>
          <w:sz w:val="44"/>
          <w:szCs w:val="44"/>
        </w:rPr>
      </w:pPr>
    </w:p>
    <w:p>
      <w:pPr>
        <w:adjustRightInd w:val="0"/>
        <w:snapToGrid w:val="0"/>
        <w:spacing w:line="640" w:lineRule="exact"/>
        <w:jc w:val="center"/>
        <w:rPr>
          <w:rFonts w:hint="default" w:ascii="Times New Roman" w:hAnsi="Times New Roman" w:eastAsia="方正小标宋_GBK" w:cs="Times New Roman"/>
          <w:b/>
          <w:spacing w:val="60"/>
          <w:sz w:val="44"/>
          <w:szCs w:val="44"/>
        </w:rPr>
      </w:pPr>
      <w:r>
        <w:rPr>
          <w:rFonts w:hint="default" w:ascii="Times New Roman" w:hAnsi="Times New Roman" w:eastAsia="方正小标宋_GBK" w:cs="Times New Roman"/>
          <w:b/>
          <w:spacing w:val="60"/>
          <w:sz w:val="44"/>
          <w:szCs w:val="44"/>
        </w:rPr>
        <w:t>所属企业领导班子成员招聘服务</w:t>
      </w:r>
    </w:p>
    <w:p>
      <w:pPr>
        <w:adjustRightInd w:val="0"/>
        <w:snapToGrid w:val="0"/>
        <w:spacing w:line="640" w:lineRule="exact"/>
        <w:jc w:val="center"/>
        <w:rPr>
          <w:rFonts w:hint="default" w:ascii="Times New Roman" w:hAnsi="Times New Roman" w:eastAsia="方正小标宋_GBK" w:cs="Times New Roman"/>
          <w:b/>
          <w:spacing w:val="60"/>
          <w:sz w:val="44"/>
          <w:szCs w:val="44"/>
        </w:rPr>
      </w:pPr>
    </w:p>
    <w:p>
      <w:pPr>
        <w:adjustRightInd w:val="0"/>
        <w:snapToGrid w:val="0"/>
        <w:spacing w:line="640" w:lineRule="exact"/>
        <w:jc w:val="center"/>
        <w:rPr>
          <w:rFonts w:hint="default" w:ascii="Times New Roman" w:hAnsi="Times New Roman" w:eastAsia="方正小标宋_GBK" w:cs="Times New Roman"/>
          <w:b/>
          <w:spacing w:val="60"/>
          <w:sz w:val="44"/>
          <w:szCs w:val="44"/>
        </w:rPr>
      </w:pPr>
    </w:p>
    <w:p>
      <w:pPr>
        <w:adjustRightInd w:val="0"/>
        <w:snapToGrid w:val="0"/>
        <w:spacing w:line="640" w:lineRule="exact"/>
        <w:jc w:val="center"/>
        <w:rPr>
          <w:rFonts w:hint="default" w:ascii="Times New Roman" w:hAnsi="Times New Roman" w:eastAsia="方正小标宋_GBK" w:cs="Times New Roman"/>
          <w:b/>
          <w:spacing w:val="60"/>
          <w:sz w:val="44"/>
          <w:szCs w:val="44"/>
        </w:rPr>
      </w:pPr>
      <w:r>
        <w:rPr>
          <w:rFonts w:hint="default" w:ascii="Times New Roman" w:hAnsi="Times New Roman" w:eastAsia="方正小标宋简体" w:cs="Times New Roman"/>
          <w:b/>
          <w:bCs/>
          <w:spacing w:val="20"/>
          <w:sz w:val="44"/>
          <w:szCs w:val="44"/>
        </w:rPr>
        <w:t>比选文件</w:t>
      </w:r>
    </w:p>
    <w:p>
      <w:pPr>
        <w:spacing w:before="312" w:beforeLines="100" w:after="312" w:afterLines="100" w:line="640" w:lineRule="exact"/>
        <w:jc w:val="center"/>
        <w:rPr>
          <w:rFonts w:hint="default" w:ascii="Times New Roman" w:hAnsi="Times New Roman" w:eastAsia="方正小标宋_GBK" w:cs="Times New Roman"/>
          <w:b/>
          <w:sz w:val="44"/>
          <w:szCs w:val="44"/>
        </w:rPr>
      </w:pPr>
    </w:p>
    <w:p>
      <w:pPr>
        <w:wordWrap w:val="0"/>
        <w:ind w:right="-153" w:rightChars="-73"/>
        <w:jc w:val="right"/>
        <w:rPr>
          <w:rFonts w:hint="default" w:ascii="Times New Roman" w:hAnsi="Times New Roman" w:eastAsia="仿宋_GB2312" w:cs="Times New Roman"/>
          <w:color w:val="000000"/>
          <w:szCs w:val="28"/>
        </w:rPr>
      </w:pPr>
    </w:p>
    <w:p>
      <w:pPr>
        <w:spacing w:line="0" w:lineRule="atLeast"/>
        <w:rPr>
          <w:rFonts w:hint="default" w:ascii="Times New Roman" w:hAnsi="Times New Roman" w:eastAsia="方正小标宋_GBK" w:cs="Times New Roman"/>
          <w:b/>
          <w:sz w:val="28"/>
          <w:szCs w:val="44"/>
        </w:rPr>
      </w:pPr>
    </w:p>
    <w:p>
      <w:pPr>
        <w:spacing w:line="0" w:lineRule="atLeast"/>
        <w:jc w:val="center"/>
        <w:rPr>
          <w:rFonts w:hint="default" w:ascii="Times New Roman" w:hAnsi="Times New Roman" w:eastAsia="方正小标宋_GBK" w:cs="Times New Roman"/>
          <w:b/>
          <w:sz w:val="28"/>
          <w:szCs w:val="28"/>
        </w:rPr>
      </w:pPr>
      <w:r>
        <w:rPr>
          <w:rFonts w:hint="default" w:ascii="Times New Roman" w:hAnsi="Times New Roman" w:eastAsia="方正小标宋_GBK" w:cs="Times New Roman"/>
          <w:b/>
          <w:sz w:val="28"/>
          <w:szCs w:val="28"/>
        </w:rPr>
        <w:t xml:space="preserve">二 〇 二 </w:t>
      </w:r>
      <w:r>
        <w:rPr>
          <w:rFonts w:hint="default" w:ascii="Times New Roman" w:hAnsi="Times New Roman" w:eastAsia="方正小标宋_GBK" w:cs="Times New Roman"/>
          <w:b/>
          <w:sz w:val="28"/>
          <w:szCs w:val="28"/>
          <w:lang w:val="en-US" w:eastAsia="zh-CN"/>
        </w:rPr>
        <w:t xml:space="preserve">二 </w:t>
      </w:r>
      <w:r>
        <w:rPr>
          <w:rFonts w:hint="default" w:ascii="Times New Roman" w:hAnsi="Times New Roman" w:eastAsia="方正小标宋_GBK" w:cs="Times New Roman"/>
          <w:b/>
          <w:sz w:val="28"/>
          <w:szCs w:val="28"/>
        </w:rPr>
        <w:t xml:space="preserve"> 年  </w:t>
      </w:r>
      <w:r>
        <w:rPr>
          <w:rFonts w:hint="default" w:ascii="Times New Roman" w:hAnsi="Times New Roman" w:eastAsia="方正小标宋_GBK" w:cs="Times New Roman"/>
          <w:b/>
          <w:sz w:val="28"/>
          <w:szCs w:val="28"/>
          <w:lang w:val="en-US" w:eastAsia="zh-CN"/>
        </w:rPr>
        <w:t>三</w:t>
      </w:r>
      <w:r>
        <w:rPr>
          <w:rFonts w:hint="default" w:ascii="Times New Roman" w:hAnsi="Times New Roman" w:eastAsia="方正小标宋_GBK" w:cs="Times New Roman"/>
          <w:b/>
          <w:sz w:val="28"/>
          <w:szCs w:val="28"/>
        </w:rPr>
        <w:t xml:space="preserve">  月</w:t>
      </w:r>
    </w:p>
    <w:p>
      <w:pPr>
        <w:spacing w:before="312" w:beforeLines="100" w:line="360" w:lineRule="exact"/>
        <w:jc w:val="left"/>
        <w:rPr>
          <w:rFonts w:hint="default" w:ascii="Times New Roman" w:hAnsi="Times New Roman" w:eastAsia="方正小标宋_GBK" w:cs="Times New Roman"/>
          <w:b/>
          <w:bCs/>
          <w:spacing w:val="40"/>
          <w:sz w:val="32"/>
          <w:szCs w:val="32"/>
        </w:rPr>
      </w:pPr>
    </w:p>
    <w:p>
      <w:pPr>
        <w:widowControl/>
        <w:jc w:val="left"/>
        <w:rPr>
          <w:rFonts w:hint="default" w:ascii="Times New Roman" w:hAnsi="Times New Roman" w:eastAsia="黑体" w:cs="Times New Roman"/>
          <w:b/>
          <w:bCs/>
          <w:caps/>
          <w:sz w:val="44"/>
          <w:szCs w:val="44"/>
        </w:rPr>
      </w:pPr>
      <w:bookmarkStart w:id="0" w:name="_Toc448516841"/>
      <w:r>
        <w:rPr>
          <w:rFonts w:hint="default" w:ascii="Times New Roman" w:hAnsi="Times New Roman" w:eastAsia="黑体" w:cs="Times New Roman"/>
          <w:sz w:val="44"/>
          <w:szCs w:val="44"/>
        </w:rPr>
        <w:br w:type="page"/>
      </w:r>
    </w:p>
    <w:p>
      <w:pPr>
        <w:pStyle w:val="9"/>
        <w:rPr>
          <w:rFonts w:hint="default" w:ascii="Times New Roman" w:hAnsi="Times New Roman" w:eastAsia="黑体" w:cs="Times New Roman"/>
          <w:sz w:val="44"/>
          <w:szCs w:val="44"/>
        </w:rPr>
      </w:pPr>
      <w:r>
        <w:rPr>
          <w:rFonts w:hint="default" w:ascii="Times New Roman" w:hAnsi="Times New Roman" w:eastAsia="黑体" w:cs="Times New Roman"/>
          <w:sz w:val="44"/>
          <w:szCs w:val="44"/>
        </w:rPr>
        <w:t>目录</w:t>
      </w:r>
    </w:p>
    <w:p>
      <w:pPr>
        <w:pStyle w:val="9"/>
        <w:jc w:val="left"/>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一、比选公告</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t>3</w:t>
      </w:r>
    </w:p>
    <w:p>
      <w:pPr>
        <w:pStyle w:val="9"/>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TOC \o "1-1"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二、比选应遵循的原则</w:t>
      </w:r>
      <w:r>
        <w:rPr>
          <w:rFonts w:hint="eastAsia" w:ascii="仿宋_GB2312" w:hAnsi="仿宋_GB2312" w:eastAsia="仿宋_GB2312" w:cs="仿宋_GB2312"/>
          <w:b w:val="0"/>
          <w:bCs w:val="0"/>
          <w:sz w:val="32"/>
          <w:szCs w:val="32"/>
        </w:rPr>
        <w:tab/>
      </w:r>
      <w:r>
        <w:rPr>
          <w:rFonts w:ascii="仿宋_GB2312" w:hAnsi="仿宋_GB2312" w:eastAsia="仿宋_GB2312" w:cs="仿宋_GB2312"/>
          <w:b w:val="0"/>
          <w:bCs w:val="0"/>
          <w:sz w:val="32"/>
          <w:szCs w:val="32"/>
        </w:rPr>
        <w:t>8</w:t>
      </w:r>
    </w:p>
    <w:p>
      <w:pPr>
        <w:pStyle w:val="9"/>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三、中选准则</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lang w:val="en-US" w:eastAsia="zh-CN"/>
        </w:rPr>
        <w:t>8</w:t>
      </w:r>
    </w:p>
    <w:p>
      <w:pPr>
        <w:pStyle w:val="9"/>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四、比选程序</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lang w:val="en-US" w:eastAsia="zh-CN"/>
        </w:rPr>
        <w:t>8</w:t>
      </w:r>
    </w:p>
    <w:p>
      <w:pPr>
        <w:pStyle w:val="9"/>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五、比选参选人应注意的事项</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lang w:val="en-US" w:eastAsia="zh-CN"/>
        </w:rPr>
        <w:t>8</w:t>
      </w:r>
    </w:p>
    <w:p>
      <w:pPr>
        <w:pStyle w:val="9"/>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六、比选办法</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_Toc1301424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13</w:t>
      </w:r>
      <w:r>
        <w:rPr>
          <w:rFonts w:hint="eastAsia" w:ascii="仿宋_GB2312" w:hAnsi="仿宋_GB2312" w:eastAsia="仿宋_GB2312" w:cs="仿宋_GB2312"/>
          <w:b w:val="0"/>
          <w:bCs w:val="0"/>
          <w:sz w:val="32"/>
          <w:szCs w:val="32"/>
        </w:rPr>
        <w:fldChar w:fldCharType="end"/>
      </w:r>
    </w:p>
    <w:p>
      <w:pPr>
        <w:pStyle w:val="9"/>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附件一：比选申请书格式</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lang w:val="en-US" w:eastAsia="zh-CN"/>
        </w:rPr>
        <w:t>16</w:t>
      </w:r>
    </w:p>
    <w:p>
      <w:pPr>
        <w:pStyle w:val="9"/>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附件二：法定代表人授权书格式</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lang w:val="en-US" w:eastAsia="zh-CN"/>
        </w:rPr>
        <w:t>18</w:t>
      </w:r>
    </w:p>
    <w:p>
      <w:pPr>
        <w:pStyle w:val="9"/>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附件三：项目小组构成及成员基本情况</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lang w:val="en-US" w:eastAsia="zh-CN"/>
        </w:rPr>
        <w:t>19</w:t>
      </w:r>
    </w:p>
    <w:p>
      <w:pPr>
        <w:pStyle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附件四：比选报价表格式：</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lang w:val="en-US" w:eastAsia="zh-CN"/>
        </w:rPr>
        <w:t>21</w:t>
      </w:r>
    </w:p>
    <w:p>
      <w:pPr>
        <w:pStyle w:val="9"/>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附件五：承诺书</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lang w:val="en-US" w:eastAsia="zh-CN"/>
        </w:rPr>
        <w:t>22</w:t>
      </w:r>
    </w:p>
    <w:p>
      <w:pPr>
        <w:pStyle w:val="9"/>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附件六：保密承诺函</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lang w:val="en-US" w:eastAsia="zh-CN"/>
        </w:rPr>
        <w:t>24</w:t>
      </w:r>
    </w:p>
    <w:p>
      <w:pPr>
        <w:pStyle w:val="9"/>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附件七：评审标准</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lang w:val="en-US" w:eastAsia="zh-CN"/>
        </w:rPr>
        <w:t>29</w:t>
      </w:r>
    </w:p>
    <w:p>
      <w:pPr>
        <w:rPr>
          <w:rFonts w:hint="eastAsia" w:eastAsia="仿宋_GB2312"/>
          <w:lang w:eastAsia="zh-CN"/>
        </w:rPr>
      </w:pPr>
    </w:p>
    <w:p>
      <w:pPr>
        <w:widowControl/>
        <w:jc w:val="left"/>
        <w:rPr>
          <w:rFonts w:hint="default" w:ascii="Times New Roman" w:hAnsi="Times New Roman" w:eastAsia="黑体" w:cs="Times New Roman"/>
          <w:b/>
          <w:bCs/>
          <w:kern w:val="44"/>
          <w:sz w:val="32"/>
          <w:szCs w:val="32"/>
        </w:rPr>
      </w:pPr>
      <w:r>
        <w:rPr>
          <w:rFonts w:hint="eastAsia" w:ascii="仿宋_GB2312" w:hAnsi="仿宋_GB2312" w:eastAsia="仿宋_GB2312" w:cs="仿宋_GB2312"/>
          <w:sz w:val="32"/>
          <w:szCs w:val="32"/>
        </w:rPr>
        <w:fldChar w:fldCharType="end"/>
      </w:r>
      <w:r>
        <w:rPr>
          <w:rFonts w:hint="default" w:ascii="Times New Roman" w:hAnsi="Times New Roman" w:eastAsia="黑体" w:cs="Times New Roman"/>
          <w:sz w:val="32"/>
          <w:szCs w:val="32"/>
        </w:rPr>
        <w:br w:type="page"/>
      </w:r>
    </w:p>
    <w:p>
      <w:pPr>
        <w:pStyle w:val="10"/>
        <w:widowControl/>
        <w:spacing w:beforeAutospacing="0" w:afterAutospacing="0" w:line="560" w:lineRule="exact"/>
        <w:ind w:firstLine="640" w:firstLineChars="200"/>
        <w:rPr>
          <w:rFonts w:hint="default" w:ascii="Times New Roman" w:hAnsi="Times New Roman" w:eastAsia="黑体" w:cs="Times New Roman"/>
          <w:sz w:val="32"/>
          <w:szCs w:val="32"/>
        </w:rPr>
      </w:pPr>
      <w:bookmarkStart w:id="1" w:name="_Toc1301420"/>
      <w:r>
        <w:rPr>
          <w:rFonts w:hint="default" w:ascii="Times New Roman" w:hAnsi="Times New Roman" w:eastAsia="黑体" w:cs="Times New Roman"/>
          <w:sz w:val="32"/>
          <w:szCs w:val="32"/>
        </w:rPr>
        <w:t>一、比选公告</w:t>
      </w:r>
    </w:p>
    <w:p>
      <w:pPr>
        <w:pStyle w:val="10"/>
        <w:widowControl/>
        <w:spacing w:beforeAutospacing="0" w:afterAutospacing="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四川</w:t>
      </w:r>
      <w:r>
        <w:rPr>
          <w:rFonts w:hint="default" w:ascii="Times New Roman" w:hAnsi="Times New Roman" w:eastAsia="仿宋_GB2312" w:cs="Times New Roman"/>
          <w:sz w:val="32"/>
          <w:szCs w:val="32"/>
        </w:rPr>
        <w:t>蜀道物流集团</w:t>
      </w:r>
      <w:r>
        <w:rPr>
          <w:rFonts w:hint="default" w:ascii="Times New Roman" w:hAnsi="Times New Roman" w:eastAsia="仿宋_GB2312" w:cs="Times New Roman"/>
          <w:sz w:val="32"/>
          <w:szCs w:val="32"/>
          <w:lang w:val="en-US" w:eastAsia="zh-CN"/>
        </w:rPr>
        <w:t>有限公司</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以下简称</w:t>
      </w:r>
      <w:r>
        <w:rPr>
          <w:rFonts w:hint="default" w:ascii="Times New Roman" w:hAnsi="Times New Roman" w:eastAsia="仿宋_GB2312" w:cs="Times New Roman"/>
          <w:sz w:val="32"/>
          <w:szCs w:val="32"/>
        </w:rPr>
        <w:t>“物流集团”）拟采取公开比选的方式采购</w:t>
      </w:r>
      <w:r>
        <w:rPr>
          <w:rFonts w:hint="default" w:ascii="Times New Roman" w:hAnsi="Times New Roman" w:eastAsia="仿宋_GB2312" w:cs="Times New Roman"/>
          <w:sz w:val="32"/>
          <w:szCs w:val="32"/>
          <w:lang w:val="en-US" w:eastAsia="zh-CN"/>
        </w:rPr>
        <w:t>所属企业领导班子成员(共7人)招聘</w:t>
      </w:r>
      <w:r>
        <w:rPr>
          <w:rFonts w:hint="default" w:ascii="Times New Roman" w:hAnsi="Times New Roman" w:eastAsia="仿宋_GB2312" w:cs="Times New Roman"/>
          <w:sz w:val="32"/>
          <w:szCs w:val="32"/>
        </w:rPr>
        <w:t>服务。根据有关规定，现将公开比选</w:t>
      </w:r>
      <w:r>
        <w:rPr>
          <w:rFonts w:hint="default" w:ascii="Times New Roman" w:hAnsi="Times New Roman" w:eastAsia="仿宋_GB2312" w:cs="Times New Roman"/>
          <w:sz w:val="32"/>
          <w:szCs w:val="32"/>
          <w:lang w:val="en-US" w:eastAsia="zh-CN"/>
        </w:rPr>
        <w:t>招聘</w:t>
      </w:r>
      <w:r>
        <w:rPr>
          <w:rFonts w:hint="default" w:ascii="Times New Roman" w:hAnsi="Times New Roman" w:eastAsia="仿宋_GB2312" w:cs="Times New Roman"/>
          <w:sz w:val="32"/>
          <w:szCs w:val="32"/>
        </w:rPr>
        <w:t>机构的有关事项公告如下：</w:t>
      </w:r>
    </w:p>
    <w:p>
      <w:pPr>
        <w:pStyle w:val="10"/>
        <w:widowControl/>
        <w:spacing w:beforeAutospacing="0" w:afterAutospacing="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（一）项目概况</w:t>
      </w:r>
    </w:p>
    <w:p>
      <w:pPr>
        <w:pStyle w:val="10"/>
        <w:widowControl/>
        <w:spacing w:beforeAutospacing="0" w:afterAutospacing="0" w:line="560" w:lineRule="exact"/>
        <w:ind w:firstLine="640" w:firstLineChars="200"/>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_GB2312" w:cs="Times New Roman"/>
          <w:sz w:val="32"/>
          <w:szCs w:val="32"/>
        </w:rPr>
        <w:t>1.比选人：</w:t>
      </w:r>
      <w:r>
        <w:rPr>
          <w:rFonts w:hint="default" w:ascii="Times New Roman" w:hAnsi="Times New Roman" w:eastAsia="仿宋_GB2312" w:cs="Times New Roman"/>
          <w:sz w:val="32"/>
          <w:szCs w:val="32"/>
          <w:lang w:val="en-US" w:eastAsia="zh-CN"/>
        </w:rPr>
        <w:t>四川</w:t>
      </w:r>
      <w:r>
        <w:rPr>
          <w:rFonts w:hint="default" w:ascii="Times New Roman" w:hAnsi="Times New Roman" w:eastAsia="仿宋_GB2312" w:cs="Times New Roman"/>
          <w:sz w:val="32"/>
          <w:szCs w:val="32"/>
        </w:rPr>
        <w:t>蜀道物流集团</w:t>
      </w:r>
      <w:r>
        <w:rPr>
          <w:rFonts w:hint="default" w:ascii="Times New Roman" w:hAnsi="Times New Roman" w:eastAsia="仿宋_GB2312" w:cs="Times New Roman"/>
          <w:sz w:val="32"/>
          <w:szCs w:val="32"/>
          <w:lang w:val="en-US" w:eastAsia="zh-CN"/>
        </w:rPr>
        <w:t>有限公司</w:t>
      </w:r>
    </w:p>
    <w:p>
      <w:pPr>
        <w:pStyle w:val="10"/>
        <w:widowControl/>
        <w:spacing w:beforeAutospacing="0" w:afterAutospacing="0" w:line="5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（二）项目名称：</w:t>
      </w:r>
      <w:r>
        <w:rPr>
          <w:rFonts w:hint="default" w:ascii="Times New Roman" w:hAnsi="Times New Roman" w:eastAsia="仿宋_GB2312" w:cs="Times New Roman"/>
          <w:sz w:val="32"/>
          <w:szCs w:val="32"/>
          <w:lang w:val="en-US" w:eastAsia="zh-CN"/>
        </w:rPr>
        <w:t>四川</w:t>
      </w:r>
      <w:r>
        <w:rPr>
          <w:rFonts w:hint="default" w:ascii="Times New Roman" w:hAnsi="Times New Roman" w:eastAsia="仿宋_GB2312" w:cs="Times New Roman"/>
          <w:sz w:val="32"/>
          <w:szCs w:val="32"/>
        </w:rPr>
        <w:t>蜀道物流集团</w:t>
      </w:r>
      <w:r>
        <w:rPr>
          <w:rFonts w:hint="default" w:ascii="Times New Roman" w:hAnsi="Times New Roman" w:eastAsia="仿宋_GB2312" w:cs="Times New Roman"/>
          <w:sz w:val="32"/>
          <w:szCs w:val="32"/>
          <w:lang w:val="en-US" w:eastAsia="zh-CN"/>
        </w:rPr>
        <w:t>有限公司所属企业领导班子成员招聘</w:t>
      </w:r>
      <w:r>
        <w:rPr>
          <w:rFonts w:hint="default" w:ascii="Times New Roman" w:hAnsi="Times New Roman" w:eastAsia="仿宋_GB2312" w:cs="Times New Roman"/>
          <w:sz w:val="32"/>
          <w:szCs w:val="32"/>
        </w:rPr>
        <w:t>服务</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（三）服务内容：</w:t>
      </w:r>
    </w:p>
    <w:p>
      <w:pPr>
        <w:widowControl/>
        <w:spacing w:line="560" w:lineRule="exact"/>
        <w:ind w:firstLine="640" w:firstLineChars="200"/>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1.公告发布及人才邀约；</w:t>
      </w:r>
    </w:p>
    <w:p>
      <w:pPr>
        <w:pStyle w:val="2"/>
        <w:spacing w:line="560" w:lineRule="exact"/>
        <w:ind w:firstLine="640" w:firstLineChars="200"/>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2.报名系统使用；</w:t>
      </w:r>
    </w:p>
    <w:p>
      <w:pPr>
        <w:pStyle w:val="2"/>
        <w:spacing w:line="560" w:lineRule="exact"/>
        <w:ind w:firstLine="640" w:firstLineChars="200"/>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3.资格审核及简历筛选；</w:t>
      </w:r>
    </w:p>
    <w:p>
      <w:pPr>
        <w:pStyle w:val="2"/>
        <w:spacing w:line="560" w:lineRule="exact"/>
        <w:ind w:firstLine="640" w:firstLineChars="200"/>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4.人才测评（包括笔试面试等）；</w:t>
      </w:r>
    </w:p>
    <w:p>
      <w:pPr>
        <w:pStyle w:val="2"/>
        <w:spacing w:line="560" w:lineRule="exact"/>
        <w:ind w:firstLine="640" w:firstLineChars="200"/>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5.背景调查；</w:t>
      </w:r>
    </w:p>
    <w:p>
      <w:pPr>
        <w:pStyle w:val="2"/>
        <w:spacing w:line="560" w:lineRule="exact"/>
        <w:ind w:firstLine="640" w:firstLineChars="200"/>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6.组织体检、offer跟进、项目总结报告；</w:t>
      </w:r>
    </w:p>
    <w:p>
      <w:pPr>
        <w:pStyle w:val="2"/>
        <w:spacing w:line="560" w:lineRule="exact"/>
        <w:ind w:firstLine="640" w:firstLineChars="200"/>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7.猎头招聘服务；</w:t>
      </w:r>
    </w:p>
    <w:p>
      <w:pPr>
        <w:pStyle w:val="2"/>
        <w:spacing w:line="560" w:lineRule="exact"/>
        <w:ind w:firstLine="640" w:firstLineChars="200"/>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8.其他与招聘服务有关的内容。</w:t>
      </w:r>
    </w:p>
    <w:p>
      <w:pPr>
        <w:widowControl/>
        <w:spacing w:beforeAutospacing="0" w:afterAutospacing="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（四）比选申请人的报名资格要求</w:t>
      </w:r>
    </w:p>
    <w:p>
      <w:pPr>
        <w:pStyle w:val="10"/>
        <w:widowControl/>
        <w:spacing w:beforeAutospacing="0" w:afterAutospacing="0"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1．具有独立承担民事责任的能力；</w:t>
      </w:r>
    </w:p>
    <w:p>
      <w:pPr>
        <w:pStyle w:val="10"/>
        <w:widowControl/>
        <w:spacing w:beforeAutospacing="0" w:afterAutospacing="0"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2．具有良好的商业信誉和健全的财务会计制度；</w:t>
      </w:r>
    </w:p>
    <w:p>
      <w:pPr>
        <w:pStyle w:val="10"/>
        <w:widowControl/>
        <w:spacing w:beforeAutospacing="0" w:afterAutospacing="0"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3．具有履行合同所必需的设备工具和专业技术能力；</w:t>
      </w:r>
    </w:p>
    <w:p>
      <w:pPr>
        <w:pStyle w:val="10"/>
        <w:widowControl/>
        <w:spacing w:beforeAutospacing="0" w:afterAutospacing="0"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4．有依法缴纳税收和社会保障资金的良好记录；</w:t>
      </w:r>
    </w:p>
    <w:p>
      <w:pPr>
        <w:pStyle w:val="10"/>
        <w:widowControl/>
        <w:spacing w:beforeAutospacing="0" w:afterAutospacing="0"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5．近三年经营活动中没有重大违法记录；</w:t>
      </w:r>
    </w:p>
    <w:p>
      <w:pPr>
        <w:pStyle w:val="10"/>
        <w:widowControl/>
        <w:spacing w:beforeAutospacing="0" w:afterAutospacing="0"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6．法律、行政法规规定的其他条件。</w:t>
      </w:r>
    </w:p>
    <w:p>
      <w:pPr>
        <w:pStyle w:val="10"/>
        <w:widowControl/>
        <w:spacing w:beforeAutospacing="0" w:afterAutospacing="0"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投标人不能被列入失信被执行人、重大税收违法案件当事人名单、政府采购严重违法失信行为记录名单。</w:t>
      </w:r>
    </w:p>
    <w:p>
      <w:pPr>
        <w:pStyle w:val="10"/>
        <w:widowControl/>
        <w:spacing w:beforeAutospacing="0" w:afterAutospacing="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五</w:t>
      </w:r>
      <w:r>
        <w:rPr>
          <w:rFonts w:hint="default" w:ascii="Times New Roman" w:hAnsi="Times New Roman" w:eastAsia="仿宋_GB2312" w:cs="Times New Roman"/>
          <w:sz w:val="32"/>
          <w:szCs w:val="32"/>
        </w:rPr>
        <w:t>）本项目采用综合评分法，资格后审。不符合比选资格的将被比选人拒绝，比选人对报名资料的审验并不作为比选申请单位资格条件的最终认定，比选申请人应对资料的真实性、合规性负责；开标后，仍将由评审组对比选申请人的资格证明材料进行资格审核，不符合比选资格条件的申请单位的投标将被拒绝。</w:t>
      </w:r>
    </w:p>
    <w:p>
      <w:pPr>
        <w:pStyle w:val="10"/>
        <w:widowControl/>
        <w:spacing w:beforeAutospacing="0" w:afterAutospacing="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六</w:t>
      </w:r>
      <w:r>
        <w:rPr>
          <w:rFonts w:hint="default" w:ascii="Times New Roman" w:hAnsi="Times New Roman" w:eastAsia="仿宋_GB2312" w:cs="Times New Roman"/>
          <w:sz w:val="32"/>
          <w:szCs w:val="32"/>
        </w:rPr>
        <w:t>）比选文件递交时间及地点</w:t>
      </w:r>
    </w:p>
    <w:p>
      <w:pPr>
        <w:pStyle w:val="10"/>
        <w:widowControl/>
        <w:wordWrap w:val="0"/>
        <w:topLinePunct/>
        <w:spacing w:beforeAutospacing="0" w:afterAutospacing="0" w:line="560" w:lineRule="exact"/>
        <w:ind w:firstLine="640" w:firstLineChars="200"/>
        <w:jc w:val="both"/>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凡有意参加比选者，请于202</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年</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11</w:t>
      </w:r>
      <w:r>
        <w:rPr>
          <w:rFonts w:hint="default" w:ascii="Times New Roman" w:hAnsi="Times New Roman" w:eastAsia="仿宋_GB2312" w:cs="Times New Roman"/>
          <w:sz w:val="32"/>
          <w:szCs w:val="32"/>
          <w:highlight w:val="none"/>
        </w:rPr>
        <w:t>日至202</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年</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月</w:t>
      </w:r>
      <w:r>
        <w:rPr>
          <w:rFonts w:hint="eastAsia" w:eastAsia="仿宋_GB2312" w:cs="Times New Roman"/>
          <w:sz w:val="32"/>
          <w:szCs w:val="32"/>
          <w:highlight w:val="none"/>
          <w:lang w:val="en-US" w:eastAsia="zh-CN"/>
        </w:rPr>
        <w:t>15</w:t>
      </w:r>
      <w:r>
        <w:rPr>
          <w:rFonts w:hint="default" w:ascii="Times New Roman" w:hAnsi="Times New Roman" w:eastAsia="仿宋_GB2312" w:cs="Times New Roman"/>
          <w:sz w:val="32"/>
          <w:szCs w:val="32"/>
          <w:highlight w:val="none"/>
        </w:rPr>
        <w:t>日，</w:t>
      </w:r>
      <w:r>
        <w:rPr>
          <w:rFonts w:hint="default" w:ascii="Times New Roman" w:hAnsi="Times New Roman" w:eastAsia="仿宋_GB2312" w:cs="Times New Roman"/>
          <w:sz w:val="32"/>
          <w:szCs w:val="32"/>
          <w:highlight w:val="none"/>
          <w:lang w:val="en-US" w:eastAsia="zh-CN"/>
        </w:rPr>
        <w:t>在</w:t>
      </w:r>
      <w:r>
        <w:rPr>
          <w:rFonts w:hint="default" w:ascii="Times New Roman" w:hAnsi="Times New Roman" w:eastAsia="仿宋_GB2312" w:cs="Times New Roman"/>
          <w:sz w:val="32"/>
          <w:szCs w:val="32"/>
          <w:highlight w:val="none"/>
        </w:rPr>
        <w:t>蜀道集团集中采购平台</w:t>
      </w:r>
      <w:r>
        <w:rPr>
          <w:rFonts w:hint="default" w:ascii="Times New Roman" w:hAnsi="Times New Roman" w:eastAsia="仿宋_GB2312" w:cs="Times New Roman"/>
          <w:sz w:val="30"/>
          <w:szCs w:val="30"/>
          <w:highlight w:val="none"/>
        </w:rPr>
        <w:t>（http://cs.scjt-wl.com:27280）</w:t>
      </w:r>
      <w:r>
        <w:rPr>
          <w:rFonts w:hint="default" w:ascii="Times New Roman" w:hAnsi="Times New Roman" w:eastAsia="仿宋_GB2312" w:cs="Times New Roman"/>
          <w:sz w:val="32"/>
          <w:szCs w:val="32"/>
          <w:highlight w:val="none"/>
        </w:rPr>
        <w:t>上自行下载比选文件。</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highlight w:val="none"/>
        </w:rPr>
        <w:t>本项目比选文件递交时间为202</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年</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月</w:t>
      </w:r>
      <w:r>
        <w:rPr>
          <w:rFonts w:hint="eastAsia" w:eastAsia="仿宋_GB2312" w:cs="Times New Roman"/>
          <w:sz w:val="32"/>
          <w:szCs w:val="32"/>
          <w:highlight w:val="none"/>
          <w:lang w:val="en-US" w:eastAsia="zh-CN"/>
        </w:rPr>
        <w:t>15</w:t>
      </w:r>
      <w:r>
        <w:rPr>
          <w:rFonts w:hint="default" w:ascii="Times New Roman" w:hAnsi="Times New Roman" w:eastAsia="仿宋_GB2312" w:cs="Times New Roman"/>
          <w:sz w:val="32"/>
          <w:szCs w:val="32"/>
          <w:highlight w:val="none"/>
        </w:rPr>
        <w:t>日</w:t>
      </w:r>
      <w:r>
        <w:rPr>
          <w:rFonts w:hint="default" w:ascii="Times New Roman" w:hAnsi="Times New Roman" w:eastAsia="仿宋_GB2312" w:cs="Times New Roman"/>
          <w:sz w:val="32"/>
          <w:szCs w:val="32"/>
          <w:highlight w:val="none"/>
          <w:lang w:val="en-US" w:eastAsia="zh-CN"/>
        </w:rPr>
        <w:t>10</w:t>
      </w:r>
      <w:r>
        <w:rPr>
          <w:rFonts w:hint="default" w:ascii="Times New Roman" w:hAnsi="Times New Roman" w:eastAsia="仿宋_GB2312" w:cs="Times New Roman"/>
          <w:sz w:val="32"/>
          <w:szCs w:val="32"/>
          <w:highlight w:val="none"/>
        </w:rPr>
        <w:t>:00至1</w:t>
      </w: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:00，地点为</w:t>
      </w:r>
      <w:r>
        <w:rPr>
          <w:rFonts w:hint="default" w:ascii="Times New Roman" w:hAnsi="Times New Roman" w:eastAsia="仿宋_GB2312" w:cs="Times New Roman"/>
          <w:color w:val="000000" w:themeColor="text1"/>
          <w:sz w:val="32"/>
          <w:szCs w:val="32"/>
          <w:highlight w:val="none"/>
          <w:shd w:val="clear" w:color="auto" w:fill="FFFFFF"/>
          <w:lang w:val="en-US" w:eastAsia="zh-CN"/>
          <w14:textFill>
            <w14:solidFill>
              <w14:schemeClr w14:val="tx1"/>
            </w14:solidFill>
          </w14:textFill>
        </w:rPr>
        <w:t>四川蜀道物流集团有限公司</w:t>
      </w:r>
      <w:r>
        <w:rPr>
          <w:rFonts w:hint="default" w:ascii="Times New Roman" w:hAnsi="Times New Roman" w:eastAsia="仿宋_GB2312" w:cs="Times New Roman"/>
          <w:sz w:val="32"/>
          <w:szCs w:val="32"/>
          <w:highlight w:val="none"/>
        </w:rPr>
        <w:t>（成都市青</w:t>
      </w:r>
      <w:r>
        <w:rPr>
          <w:rFonts w:hint="default" w:ascii="Times New Roman" w:hAnsi="Times New Roman" w:eastAsia="仿宋_GB2312" w:cs="Times New Roman"/>
          <w:sz w:val="32"/>
          <w:szCs w:val="32"/>
        </w:rPr>
        <w:t>羊区光华北5路266号青羊总部经济基地2栋A座</w:t>
      </w:r>
      <w:r>
        <w:rPr>
          <w:rFonts w:hint="eastAsia" w:eastAsia="仿宋_GB2312" w:cs="Times New Roman"/>
          <w:sz w:val="32"/>
          <w:szCs w:val="32"/>
          <w:lang w:val="en-US" w:eastAsia="zh-CN"/>
        </w:rPr>
        <w:t>15楼</w:t>
      </w:r>
      <w:r>
        <w:rPr>
          <w:rFonts w:hint="default" w:ascii="Times New Roman" w:hAnsi="Times New Roman" w:eastAsia="仿宋_GB2312" w:cs="Times New Roman"/>
          <w:sz w:val="32"/>
          <w:szCs w:val="32"/>
        </w:rPr>
        <w:t>）。</w:t>
      </w:r>
    </w:p>
    <w:p>
      <w:pPr>
        <w:pStyle w:val="10"/>
        <w:widowControl/>
        <w:spacing w:beforeAutospacing="0" w:afterAutospacing="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报名时请携带比选人要求提交的比选申请文件（文件内容及格式详见附件1，不限制附上比选申请人认为必要的其他支撑性资料）。</w:t>
      </w:r>
    </w:p>
    <w:p>
      <w:pPr>
        <w:pStyle w:val="10"/>
        <w:widowControl/>
        <w:spacing w:beforeAutospacing="0" w:afterAutospacing="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七</w:t>
      </w:r>
      <w:r>
        <w:rPr>
          <w:rFonts w:hint="default" w:ascii="Times New Roman" w:hAnsi="Times New Roman" w:eastAsia="仿宋_GB2312" w:cs="Times New Roman"/>
          <w:sz w:val="32"/>
          <w:szCs w:val="32"/>
        </w:rPr>
        <w:t>）比选程序及相关要求</w:t>
      </w:r>
    </w:p>
    <w:p>
      <w:pPr>
        <w:pStyle w:val="10"/>
        <w:widowControl/>
        <w:spacing w:beforeAutospacing="0" w:afterAutospacing="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1.比选程序</w:t>
      </w:r>
    </w:p>
    <w:p>
      <w:pPr>
        <w:pStyle w:val="10"/>
        <w:widowControl/>
        <w:spacing w:beforeAutospacing="0" w:afterAutospacing="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highlight w:val="none"/>
        </w:rPr>
        <w:t>（1）比选人在比选公告规定的时间和地点公开组织比选。比选申请人须派代表参加。本项目比选时间为202</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年</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1</w:t>
      </w:r>
      <w:r>
        <w:rPr>
          <w:rFonts w:hint="eastAsia"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rPr>
        <w:t>日1</w:t>
      </w: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时00分</w:t>
      </w:r>
      <w:r>
        <w:rPr>
          <w:rFonts w:hint="default" w:ascii="Times New Roman" w:hAnsi="Times New Roman" w:eastAsia="仿宋_GB2312" w:cs="Times New Roman"/>
          <w:sz w:val="32"/>
          <w:szCs w:val="32"/>
        </w:rPr>
        <w:t>；比选地点为</w:t>
      </w:r>
      <w:r>
        <w:rPr>
          <w:rFonts w:hint="default" w:ascii="Times New Roman" w:hAnsi="Times New Roman" w:eastAsia="仿宋_GB2312" w:cs="Times New Roman"/>
          <w:color w:val="000000" w:themeColor="text1"/>
          <w:sz w:val="32"/>
          <w:szCs w:val="32"/>
          <w:highlight w:val="none"/>
          <w:shd w:val="clear" w:color="auto" w:fill="FFFFFF"/>
          <w:lang w:val="en-US" w:eastAsia="zh-CN"/>
          <w14:textFill>
            <w14:solidFill>
              <w14:schemeClr w14:val="tx1"/>
            </w14:solidFill>
          </w14:textFill>
        </w:rPr>
        <w:t>四川蜀道物流集团有限公司</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（成都市青羊区光华北5路266号青羊总部经济基地2栋A座</w:t>
      </w:r>
      <w:r>
        <w:rPr>
          <w:rFonts w:hint="default"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15楼</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w:t>
      </w:r>
      <w:r>
        <w:rPr>
          <w:rFonts w:hint="default" w:ascii="Times New Roman" w:hAnsi="Times New Roman" w:eastAsia="仿宋_GB2312" w:cs="Times New Roman"/>
          <w:sz w:val="32"/>
          <w:szCs w:val="32"/>
        </w:rPr>
        <w:t>。</w:t>
      </w:r>
    </w:p>
    <w:p>
      <w:pPr>
        <w:pStyle w:val="10"/>
        <w:widowControl/>
        <w:spacing w:beforeAutospacing="0" w:afterAutospacing="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（2）参加比选会议的比选申请人的法定代表人或其委托代理人应提交授权委托书参加比选会议，以证明其身份。未按规定提交的,比选文件不予开封，并退给比选申请人。</w:t>
      </w:r>
    </w:p>
    <w:p>
      <w:pPr>
        <w:pStyle w:val="10"/>
        <w:widowControl/>
        <w:spacing w:beforeAutospacing="0" w:afterAutospacing="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2.比选流程</w:t>
      </w:r>
    </w:p>
    <w:p>
      <w:pPr>
        <w:pStyle w:val="10"/>
        <w:widowControl/>
        <w:spacing w:beforeAutospacing="0" w:afterAutospacing="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（1）宣布比选开始。</w:t>
      </w:r>
    </w:p>
    <w:p>
      <w:pPr>
        <w:pStyle w:val="10"/>
        <w:widowControl/>
        <w:spacing w:beforeAutospacing="0" w:afterAutospacing="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（2）宣布会场纪律。</w:t>
      </w:r>
    </w:p>
    <w:p>
      <w:pPr>
        <w:pStyle w:val="10"/>
        <w:widowControl/>
        <w:spacing w:beforeAutospacing="0" w:afterAutospacing="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（3）主持人介绍到会的单位和有关人员，并宣布会议主持人、记录人、唱标人、监督人名单。</w:t>
      </w:r>
    </w:p>
    <w:p>
      <w:pPr>
        <w:pStyle w:val="10"/>
        <w:widowControl/>
        <w:spacing w:beforeAutospacing="0" w:afterAutospacing="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（4）由比选人及各比选申请人共同对比选申请文件的密封性进行审查。</w:t>
      </w:r>
    </w:p>
    <w:p>
      <w:pPr>
        <w:pStyle w:val="10"/>
        <w:widowControl/>
        <w:spacing w:beforeAutospacing="0" w:afterAutospacing="0"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（5）经查验无误后当众启封比选文件；由比选人按递交比选申请文件签到的逆顺序进行启标，由唱标人当众公布报价，并由比选申请人签字确认。</w:t>
      </w:r>
    </w:p>
    <w:p>
      <w:pPr>
        <w:pStyle w:val="10"/>
        <w:widowControl/>
        <w:spacing w:beforeAutospacing="0" w:afterAutospacing="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3.评审方法</w:t>
      </w:r>
    </w:p>
    <w:p>
      <w:pPr>
        <w:pStyle w:val="10"/>
        <w:widowControl/>
        <w:spacing w:beforeAutospacing="0" w:afterAutospacing="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（1）本项目的评审小组由比选人根据本次比选特点按照相关规定组建。</w:t>
      </w:r>
    </w:p>
    <w:p>
      <w:pPr>
        <w:pStyle w:val="10"/>
        <w:widowControl/>
        <w:spacing w:beforeAutospacing="0" w:afterAutospacing="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（2）评审小组成员名单，在中选结果确定前是保密的，评审在有关部门监督和保密的状态下进行。</w:t>
      </w:r>
    </w:p>
    <w:p>
      <w:pPr>
        <w:pStyle w:val="10"/>
        <w:widowControl/>
        <w:spacing w:beforeAutospacing="0" w:afterAutospacing="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（3）评审小组成员应当客观公正履行职务，遵守职业道德，对所提出的评审意见承担个人责任。评审小组成员不得私下接触比选申请人，不得接受比选申请人的财物或其他好处。</w:t>
      </w:r>
    </w:p>
    <w:p>
      <w:pPr>
        <w:pStyle w:val="10"/>
        <w:widowControl/>
        <w:spacing w:beforeAutospacing="0" w:afterAutospacing="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（4）评审程序：符合性审查--资格审查--详细评审--推荐中标候选人。</w:t>
      </w:r>
    </w:p>
    <w:p>
      <w:pPr>
        <w:pStyle w:val="10"/>
        <w:widowControl/>
        <w:spacing w:beforeAutospacing="0" w:afterAutospacing="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（5）在评审过程中，凡未通过上一评审的比选申请文件，不再进入后续评审程序。</w:t>
      </w:r>
    </w:p>
    <w:p>
      <w:pPr>
        <w:pStyle w:val="10"/>
        <w:widowControl/>
        <w:spacing w:beforeAutospacing="0" w:afterAutospacing="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（6）评审期间，评审小组成员根据需要对某些比选文件涉及事项进行质询，比选申请人法定代表人或其委托代理人必须保持通讯工具畅通。</w:t>
      </w:r>
    </w:p>
    <w:p>
      <w:pPr>
        <w:pStyle w:val="10"/>
        <w:widowControl/>
        <w:spacing w:beforeAutospacing="0" w:afterAutospacing="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（7）评分原则和方法：</w:t>
      </w:r>
    </w:p>
    <w:p>
      <w:pPr>
        <w:pStyle w:val="10"/>
        <w:widowControl/>
        <w:spacing w:beforeAutospacing="0" w:afterAutospacing="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①严格依法评分，坚持公平、公正的原则。</w:t>
      </w:r>
    </w:p>
    <w:p>
      <w:pPr>
        <w:pStyle w:val="10"/>
        <w:widowControl/>
        <w:spacing w:beforeAutospacing="0" w:afterAutospacing="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②严格按照比选文件的要求和条件进行。</w:t>
      </w:r>
    </w:p>
    <w:p>
      <w:pPr>
        <w:pStyle w:val="10"/>
        <w:widowControl/>
        <w:spacing w:beforeAutospacing="0" w:afterAutospacing="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③本次评分采用综合评分法。比选人不保证价格最低标能够中选，无义务承担对未中选人的任何责任。</w:t>
      </w:r>
    </w:p>
    <w:p>
      <w:pPr>
        <w:pStyle w:val="10"/>
        <w:widowControl/>
        <w:spacing w:beforeAutospacing="0" w:afterAutospacing="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④评分组按照评分方法要求的评分标准进行综合评审打分，以综合评分得分由高到低推荐三名中选候选人。</w:t>
      </w:r>
    </w:p>
    <w:p>
      <w:pPr>
        <w:pStyle w:val="10"/>
        <w:widowControl/>
        <w:spacing w:beforeAutospacing="0" w:afterAutospacing="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（九）中选公示及通知</w:t>
      </w:r>
    </w:p>
    <w:p>
      <w:pPr>
        <w:pStyle w:val="10"/>
        <w:widowControl/>
        <w:spacing w:beforeAutospacing="0" w:afterAutospacing="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1.评分结束后，评分小组按评分总得分高低排序并按评分由高到低推荐</w:t>
      </w:r>
      <w:r>
        <w:rPr>
          <w:rFonts w:hint="default"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rPr>
        <w:t>名中选候选人。</w:t>
      </w:r>
    </w:p>
    <w:p>
      <w:pPr>
        <w:pStyle w:val="10"/>
        <w:widowControl/>
        <w:spacing w:beforeAutospacing="0" w:afterAutospacing="0"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2.比选人在评分后将评分结果在</w:t>
      </w:r>
      <w:r>
        <w:rPr>
          <w:rFonts w:hint="default" w:ascii="Times New Roman" w:hAnsi="Times New Roman" w:eastAsia="仿宋_GB2312" w:cs="Times New Roman"/>
          <w:sz w:val="32"/>
          <w:szCs w:val="32"/>
          <w:highlight w:val="none"/>
          <w:shd w:val="clear" w:color="auto" w:fill="FFFFFF"/>
        </w:rPr>
        <w:t>蜀道投资集团有限责任公司(http://www.shudaojt.com/index.html)</w:t>
      </w:r>
      <w:r>
        <w:rPr>
          <w:rFonts w:hint="default" w:ascii="Times New Roman" w:hAnsi="Times New Roman" w:eastAsia="仿宋_GB2312" w:cs="Times New Roman"/>
          <w:sz w:val="32"/>
          <w:szCs w:val="32"/>
          <w:shd w:val="clear" w:color="auto" w:fill="FFFFFF"/>
        </w:rPr>
        <w:t>网上发布</w:t>
      </w:r>
      <w:r>
        <w:rPr>
          <w:rFonts w:hint="default" w:ascii="Times New Roman" w:hAnsi="Times New Roman" w:eastAsia="仿宋_GB2312" w:cs="Times New Roman"/>
          <w:sz w:val="32"/>
          <w:szCs w:val="32"/>
        </w:rPr>
        <w:t>公示，公示后向中选人发出中选通知书。</w:t>
      </w:r>
    </w:p>
    <w:p>
      <w:pPr>
        <w:pStyle w:val="10"/>
        <w:widowControl/>
        <w:spacing w:beforeAutospacing="0" w:afterAutospacing="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3.中选人须按“中选通知书”指定的时间、地点与比选人签订合同。</w:t>
      </w:r>
    </w:p>
    <w:p>
      <w:pPr>
        <w:pStyle w:val="10"/>
        <w:widowControl/>
        <w:spacing w:beforeAutospacing="0" w:afterAutospacing="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4.如中选人违约，比选人可在比选申请人单位中按得分高低依次重新选定中选人。</w:t>
      </w:r>
    </w:p>
    <w:p>
      <w:pPr>
        <w:pStyle w:val="10"/>
        <w:widowControl/>
        <w:spacing w:beforeAutospacing="0" w:afterAutospacing="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（十）相关说明</w:t>
      </w:r>
    </w:p>
    <w:p>
      <w:pPr>
        <w:pStyle w:val="10"/>
        <w:widowControl/>
        <w:spacing w:beforeAutospacing="0" w:afterAutospacing="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1.比选人承诺，将坚持诚实守信的原则对待所有比选申请人，公开、公平、公正地进行评选工作；</w:t>
      </w:r>
    </w:p>
    <w:p>
      <w:pPr>
        <w:pStyle w:val="10"/>
        <w:widowControl/>
        <w:spacing w:beforeAutospacing="0" w:afterAutospacing="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2.公开比选期间，如果比选申请人发现中选人存在比选材料与比选公告要求不符、弄虚作假等情形，比选人有权取消中选资格或是单方面无条件解除合同，一切责任由比选申请人自行承担；</w:t>
      </w:r>
    </w:p>
    <w:p>
      <w:pPr>
        <w:pStyle w:val="10"/>
        <w:widowControl/>
        <w:spacing w:beforeAutospacing="0" w:afterAutospacing="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比选人发出中标通知书后，中选人应按照比选人书面通知的时间与比选人签订正式合同。无论任何原因导致本项目终止的，比选人有权不再组织中选人签订正式合同，中标通知书自动作废，比选人不承担任何责任，并由中选人承担因本项目比选投标所产生的一切费用。</w:t>
      </w:r>
    </w:p>
    <w:p>
      <w:pPr>
        <w:pStyle w:val="10"/>
        <w:widowControl/>
        <w:spacing w:beforeAutospacing="0" w:afterAutospacing="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4.未尽事宜，以比选人最终通知为准。本项目比选文件的解释权归</w:t>
      </w:r>
      <w:r>
        <w:rPr>
          <w:rFonts w:hint="default" w:ascii="Times New Roman" w:hAnsi="Times New Roman" w:eastAsia="仿宋_GB2312" w:cs="Times New Roman"/>
          <w:color w:val="000000" w:themeColor="text1"/>
          <w:sz w:val="32"/>
          <w:szCs w:val="32"/>
          <w:highlight w:val="none"/>
          <w:shd w:val="clear" w:color="auto" w:fill="FFFFFF"/>
          <w:lang w:val="en-US" w:eastAsia="zh-CN"/>
          <w14:textFill>
            <w14:solidFill>
              <w14:schemeClr w14:val="tx1"/>
            </w14:solidFill>
          </w14:textFill>
        </w:rPr>
        <w:t>四川蜀道物流集团有限公司</w:t>
      </w:r>
      <w:r>
        <w:rPr>
          <w:rFonts w:hint="default" w:ascii="Times New Roman" w:hAnsi="Times New Roman" w:eastAsia="仿宋_GB2312" w:cs="Times New Roman"/>
          <w:sz w:val="32"/>
          <w:szCs w:val="32"/>
        </w:rPr>
        <w:t>。</w:t>
      </w:r>
    </w:p>
    <w:p>
      <w:pPr>
        <w:pStyle w:val="10"/>
        <w:keepNext w:val="0"/>
        <w:keepLines w:val="0"/>
        <w:pageBreakBefore w:val="0"/>
        <w:widowControl/>
        <w:kinsoku/>
        <w:wordWrap w:val="0"/>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（十一）发布公告的媒介</w:t>
      </w:r>
    </w:p>
    <w:p>
      <w:pPr>
        <w:pStyle w:val="10"/>
        <w:keepNext w:val="0"/>
        <w:keepLines w:val="0"/>
        <w:pageBreakBefore w:val="0"/>
        <w:widowControl/>
        <w:kinsoku/>
        <w:wordWrap w:val="0"/>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本次比选公告在蜀道集团官网(http://www.shudaojt.com/)、物流集团官网（http://sgig.sc.cn/）、蜀道集团集中采购平台（http://cs.scjt-wl.com:27280）</w:t>
      </w:r>
      <w:r>
        <w:rPr>
          <w:rFonts w:hint="default" w:ascii="Times New Roman" w:hAnsi="Times New Roman" w:eastAsia="仿宋_GB2312" w:cs="Times New Roman"/>
          <w:sz w:val="32"/>
          <w:szCs w:val="32"/>
          <w:shd w:val="clear" w:color="auto" w:fill="FFFFFF"/>
        </w:rPr>
        <w:t>网站上发布</w:t>
      </w:r>
      <w:r>
        <w:rPr>
          <w:rFonts w:hint="default" w:ascii="Times New Roman" w:hAnsi="Times New Roman" w:eastAsia="仿宋_GB2312" w:cs="Times New Roman"/>
          <w:sz w:val="32"/>
          <w:szCs w:val="32"/>
        </w:rPr>
        <w:t>。</w:t>
      </w:r>
    </w:p>
    <w:p>
      <w:pPr>
        <w:pStyle w:val="10"/>
        <w:widowControl/>
        <w:spacing w:beforeAutospacing="0" w:afterAutospacing="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（十二）联系方式</w:t>
      </w:r>
    </w:p>
    <w:p>
      <w:pPr>
        <w:pStyle w:val="10"/>
        <w:widowControl/>
        <w:spacing w:beforeAutospacing="0" w:afterAutospacing="0" w:line="560" w:lineRule="exact"/>
        <w:ind w:firstLine="640" w:firstLineChars="200"/>
        <w:rPr>
          <w:rFonts w:hint="default" w:ascii="Times New Roman" w:hAnsi="Times New Roman" w:eastAsia="仿宋_GB2312" w:cs="Times New Roman"/>
          <w:sz w:val="32"/>
          <w:szCs w:val="32"/>
          <w:highlight w:val="yellow"/>
        </w:rPr>
      </w:pPr>
      <w:r>
        <w:rPr>
          <w:rFonts w:hint="default" w:ascii="Times New Roman" w:hAnsi="Times New Roman" w:eastAsia="仿宋_GB2312" w:cs="Times New Roman"/>
          <w:sz w:val="32"/>
          <w:szCs w:val="32"/>
        </w:rPr>
        <w:t>比选人：</w:t>
      </w:r>
      <w:r>
        <w:rPr>
          <w:rFonts w:hint="default" w:ascii="Times New Roman" w:hAnsi="Times New Roman" w:eastAsia="仿宋_GB2312" w:cs="Times New Roman"/>
          <w:color w:val="000000" w:themeColor="text1"/>
          <w:sz w:val="32"/>
          <w:szCs w:val="32"/>
          <w:highlight w:val="none"/>
          <w:shd w:val="clear" w:color="auto" w:fill="FFFFFF"/>
          <w:lang w:val="en-US" w:eastAsia="zh-CN"/>
          <w14:textFill>
            <w14:solidFill>
              <w14:schemeClr w14:val="tx1"/>
            </w14:solidFill>
          </w14:textFill>
        </w:rPr>
        <w:t>四川蜀道物流集团有限公司</w:t>
      </w:r>
    </w:p>
    <w:p>
      <w:pPr>
        <w:pStyle w:val="10"/>
        <w:widowControl/>
        <w:spacing w:beforeAutospacing="0" w:afterAutospacing="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 系 人：</w:t>
      </w:r>
      <w:r>
        <w:rPr>
          <w:rFonts w:hint="default" w:ascii="Times New Roman" w:hAnsi="Times New Roman" w:eastAsia="仿宋_GB2312" w:cs="Times New Roman"/>
          <w:sz w:val="32"/>
          <w:szCs w:val="32"/>
          <w:lang w:val="en-US" w:eastAsia="zh-CN"/>
        </w:rPr>
        <w:t>张女士</w:t>
      </w:r>
    </w:p>
    <w:p>
      <w:pPr>
        <w:pStyle w:val="10"/>
        <w:widowControl/>
        <w:spacing w:beforeAutospacing="0" w:afterAutospacing="0"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rPr>
        <w:t>电    话：13980013357</w:t>
      </w:r>
    </w:p>
    <w:p>
      <w:pPr>
        <w:pStyle w:val="10"/>
        <w:widowControl/>
        <w:spacing w:beforeAutospacing="0" w:afterAutospacing="0" w:line="560" w:lineRule="exact"/>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地    址：成都市青羊区光华北5路266号青羊总部经济基地2栋A座</w:t>
      </w:r>
      <w:r>
        <w:rPr>
          <w:rFonts w:hint="eastAsia" w:eastAsia="仿宋_GB2312" w:cs="Times New Roman"/>
          <w:sz w:val="32"/>
          <w:szCs w:val="32"/>
          <w:highlight w:val="none"/>
          <w:lang w:val="en-US" w:eastAsia="zh-CN"/>
        </w:rPr>
        <w:t>15楼</w:t>
      </w:r>
    </w:p>
    <w:p>
      <w:pPr>
        <w:pStyle w:val="10"/>
        <w:widowControl/>
        <w:spacing w:beforeAutospacing="0" w:afterAutospacing="0"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二、比选应遵循的原则</w:t>
      </w:r>
      <w:bookmarkEnd w:id="0"/>
      <w:bookmarkEnd w:id="1"/>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比选遵循公开、公平、公正、竞争和择优的原则。</w:t>
      </w:r>
      <w:bookmarkStart w:id="2" w:name="_Toc448516842"/>
      <w:bookmarkStart w:id="3" w:name="_Toc1301421"/>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三、中选准则</w:t>
      </w:r>
      <w:bookmarkEnd w:id="2"/>
      <w:bookmarkEnd w:id="3"/>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（一）中选将授予比选申请符合比选文件要求、能圆满履行合同、对比选人最为有利的参选机构。</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（二）最低比选报价不是中选和最终签订合同的唯一条件。</w:t>
      </w:r>
      <w:bookmarkStart w:id="4" w:name="_Toc448516843"/>
      <w:bookmarkStart w:id="5" w:name="_Toc1301422"/>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四、比选程序</w:t>
      </w:r>
      <w:bookmarkEnd w:id="4"/>
      <w:bookmarkEnd w:id="5"/>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比选程序主要包括：发布比选公告、接受咨询、制作比选申请文件和提交比选申请文件、组织评比、确定中选人、发出中选通知。</w:t>
      </w:r>
      <w:bookmarkStart w:id="6" w:name="_Toc1301423"/>
      <w:bookmarkStart w:id="7" w:name="_Toc448516844"/>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五、比选参选人</w:t>
      </w:r>
      <w:bookmarkEnd w:id="6"/>
      <w:bookmarkEnd w:id="7"/>
      <w:r>
        <w:rPr>
          <w:rFonts w:hint="default" w:ascii="Times New Roman" w:hAnsi="Times New Roman" w:eastAsia="黑体" w:cs="Times New Roman"/>
          <w:sz w:val="32"/>
          <w:szCs w:val="32"/>
        </w:rPr>
        <w:t>须知</w:t>
      </w:r>
    </w:p>
    <w:p>
      <w:pPr>
        <w:spacing w:line="560" w:lineRule="exact"/>
        <w:ind w:firstLine="643"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 xml:space="preserve">（一）比选申请文件 </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参选机构应提交比选申请文件。比选申请文件应按“正本”一套和“副本”五套分别用信封或文件盒(箱)密封，并清楚标明“正本”或“副本”字样后递交。如出现“正本”与“副本”不符之情况，以“正本”为准。</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比选申请文件正本和副本封面还应分别标明比选申请文件名称、参选机构名称和法定代表人签名，并加盖参选机构公章。若是由授权代理人签名，则应在比选申请文件中附有授权委托书。每一密封的信封或文件盒(箱)应注明“于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1</w:t>
      </w:r>
      <w:r>
        <w:rPr>
          <w:rFonts w:hint="eastAsia"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rPr>
        <w:t>日1</w:t>
      </w: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时00分</w:t>
      </w:r>
      <w:r>
        <w:rPr>
          <w:rFonts w:hint="default" w:ascii="Times New Roman" w:hAnsi="Times New Roman" w:eastAsia="仿宋_GB2312" w:cs="Times New Roman"/>
          <w:sz w:val="32"/>
          <w:szCs w:val="32"/>
        </w:rPr>
        <w:t>之前不准启封”的字样，并加盖骑缝章。</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3.比选申请文件应采用中文写成，并统一用A4纸打印装订成册，分正本一套和副本五套分别密封，比选申请文件每套均应包括但不限于以下内容：</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（1）比选申请书(样本见附件一)；</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（2）法定代表人身份证复印件。如果有委托代理人的，应同时附法定代表人授权书(样本见附件二)、法定代表人身份证复印件、委托代理人身份证复印件；</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（3）工作方案、保证措施及时间进度表；</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（4）项目小组构成，项目负责人、现场负责人及成员简介及其相关资格证书的复印件(样本见附件三)； </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（5）比选报价，即对</w:t>
      </w:r>
      <w:r>
        <w:rPr>
          <w:rFonts w:hint="default" w:ascii="Times New Roman" w:hAnsi="Times New Roman" w:eastAsia="仿宋_GB2312" w:cs="Times New Roman"/>
          <w:sz w:val="32"/>
          <w:szCs w:val="32"/>
          <w:lang w:val="en-US" w:eastAsia="zh-CN"/>
        </w:rPr>
        <w:t>招聘</w:t>
      </w:r>
      <w:r>
        <w:rPr>
          <w:rFonts w:hint="default" w:ascii="Times New Roman" w:hAnsi="Times New Roman" w:eastAsia="仿宋_GB2312" w:cs="Times New Roman"/>
          <w:sz w:val="32"/>
          <w:szCs w:val="32"/>
        </w:rPr>
        <w:t>服务项目的包干总价服务费（样本见附件四）；</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（6）营业执照副本、相关资质影印件；</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（7）承诺书（样本见附件五）与保密承诺函(样本见附件六)；</w:t>
      </w:r>
    </w:p>
    <w:p>
      <w:pPr>
        <w:spacing w:line="560" w:lineRule="exact"/>
        <w:ind w:left="19" w:leftChars="9" w:firstLine="617" w:firstLineChars="193"/>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（8）近年完成</w:t>
      </w:r>
      <w:r>
        <w:rPr>
          <w:rFonts w:hint="default" w:ascii="Times New Roman" w:hAnsi="Times New Roman" w:eastAsia="仿宋_GB2312" w:cs="Times New Roman"/>
          <w:sz w:val="32"/>
          <w:szCs w:val="32"/>
          <w:lang w:val="en-US" w:eastAsia="zh-CN"/>
        </w:rPr>
        <w:t>招聘</w:t>
      </w:r>
      <w:r>
        <w:rPr>
          <w:rFonts w:hint="default" w:ascii="Times New Roman" w:hAnsi="Times New Roman" w:eastAsia="仿宋_GB2312" w:cs="Times New Roman"/>
          <w:sz w:val="32"/>
          <w:szCs w:val="32"/>
        </w:rPr>
        <w:t>服务项目清单，并提供相应的证明材料。</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注：以上材料均应加盖参选单位公章</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4.参选机构未按本条第1、2点规定执行(如未进行正副本分装、密封和标记等)，以及逾期送达比选申请文件的，比选人应视该比选申请文件未能对比选文件做出实质响应，该比选申请文件作废。</w:t>
      </w:r>
    </w:p>
    <w:p>
      <w:pPr>
        <w:spacing w:line="560" w:lineRule="exact"/>
        <w:ind w:firstLine="66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5.比选人拒绝接受以电报、电话、传真、电子邮件形式递交比选申请文件，或在比选文件规定截止时间后递交的比选申请文件。</w:t>
      </w:r>
    </w:p>
    <w:p>
      <w:pPr>
        <w:spacing w:line="560" w:lineRule="exact"/>
        <w:ind w:firstLine="643"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（二）比选申请文件递交</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1.递交时间及地点：202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highlight w:val="none"/>
        </w:rPr>
        <w:t>年</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1</w:t>
      </w:r>
      <w:r>
        <w:rPr>
          <w:rFonts w:hint="eastAsia"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rPr>
        <w:t>日</w:t>
      </w:r>
      <w:r>
        <w:rPr>
          <w:rFonts w:hint="default" w:ascii="Times New Roman" w:hAnsi="Times New Roman" w:eastAsia="仿宋_GB2312" w:cs="Times New Roman"/>
          <w:sz w:val="32"/>
          <w:szCs w:val="32"/>
          <w:highlight w:val="none"/>
          <w:lang w:val="en-US" w:eastAsia="zh-CN"/>
        </w:rPr>
        <w:t>10</w:t>
      </w:r>
      <w:r>
        <w:rPr>
          <w:rFonts w:hint="default" w:ascii="Times New Roman" w:hAnsi="Times New Roman" w:eastAsia="仿宋_GB2312" w:cs="Times New Roman"/>
          <w:sz w:val="32"/>
          <w:szCs w:val="32"/>
          <w:highlight w:val="none"/>
        </w:rPr>
        <w:t>:00至1</w:t>
      </w: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:00</w:t>
      </w:r>
      <w:r>
        <w:rPr>
          <w:rFonts w:hint="default" w:ascii="Times New Roman" w:hAnsi="Times New Roman" w:eastAsia="仿宋_GB2312" w:cs="Times New Roman"/>
          <w:sz w:val="32"/>
          <w:szCs w:val="32"/>
        </w:rPr>
        <w:t>递交至四川</w:t>
      </w:r>
      <w:r>
        <w:rPr>
          <w:rFonts w:hint="default" w:ascii="Times New Roman" w:hAnsi="Times New Roman" w:eastAsia="仿宋_GB2312" w:cs="Times New Roman"/>
          <w:sz w:val="32"/>
          <w:szCs w:val="32"/>
          <w:highlight w:val="none"/>
          <w:lang w:val="en-US" w:eastAsia="zh-CN"/>
        </w:rPr>
        <w:t>蜀道物流集团</w:t>
      </w:r>
      <w:r>
        <w:rPr>
          <w:rFonts w:hint="default" w:ascii="Times New Roman" w:hAnsi="Times New Roman" w:eastAsia="仿宋_GB2312" w:cs="Times New Roman"/>
          <w:sz w:val="32"/>
          <w:szCs w:val="32"/>
          <w:highlight w:val="none"/>
        </w:rPr>
        <w:t>有</w:t>
      </w:r>
      <w:r>
        <w:rPr>
          <w:rFonts w:hint="default" w:ascii="Times New Roman" w:hAnsi="Times New Roman" w:eastAsia="仿宋_GB2312" w:cs="Times New Roman"/>
          <w:sz w:val="32"/>
          <w:szCs w:val="32"/>
        </w:rPr>
        <w:t>限公司（成都市青羊区光华北5路266号青羊总部经济基地2栋A座</w:t>
      </w:r>
      <w:r>
        <w:rPr>
          <w:rFonts w:hint="default" w:ascii="Times New Roman" w:hAnsi="Times New Roman" w:eastAsia="仿宋_GB2312" w:cs="Times New Roman"/>
          <w:sz w:val="32"/>
          <w:szCs w:val="32"/>
          <w:lang w:val="en-US" w:eastAsia="zh-CN"/>
        </w:rPr>
        <w:t>15楼</w:t>
      </w:r>
      <w:r>
        <w:rPr>
          <w:rFonts w:hint="default" w:ascii="Times New Roman" w:hAnsi="Times New Roman" w:eastAsia="仿宋_GB2312" w:cs="Times New Roman"/>
          <w:sz w:val="32"/>
          <w:szCs w:val="32"/>
        </w:rPr>
        <w:t>）。</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2.联系电话：13980013357</w:t>
      </w:r>
    </w:p>
    <w:p>
      <w:pPr>
        <w:spacing w:line="560" w:lineRule="exact"/>
        <w:ind w:firstLine="643"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（三）比选报价</w:t>
      </w:r>
    </w:p>
    <w:p>
      <w:pPr>
        <w:spacing w:line="560" w:lineRule="exact"/>
        <w:ind w:firstLine="66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rPr>
        <w:t>1.参选机构应对比选报价进行严格的费用预算。所有参加本次比选的机构应充分计算和考虑其完成投标项目需要支付的差旅费等各项费用并计入投标报价总价，</w:t>
      </w:r>
      <w:r>
        <w:rPr>
          <w:rFonts w:hint="default" w:ascii="Times New Roman" w:hAnsi="Times New Roman" w:eastAsia="仿宋_GB2312" w:cs="Times New Roman"/>
          <w:sz w:val="32"/>
          <w:szCs w:val="32"/>
          <w:highlight w:val="none"/>
        </w:rPr>
        <w:t>四川</w:t>
      </w:r>
      <w:r>
        <w:rPr>
          <w:rFonts w:hint="default" w:ascii="Times New Roman" w:hAnsi="Times New Roman" w:eastAsia="仿宋_GB2312" w:cs="Times New Roman"/>
          <w:sz w:val="32"/>
          <w:szCs w:val="32"/>
          <w:highlight w:val="none"/>
          <w:lang w:val="en-US" w:eastAsia="zh-CN"/>
        </w:rPr>
        <w:t>蜀道物流集团</w:t>
      </w:r>
      <w:r>
        <w:rPr>
          <w:rFonts w:hint="default" w:ascii="Times New Roman" w:hAnsi="Times New Roman" w:eastAsia="仿宋_GB2312" w:cs="Times New Roman"/>
          <w:sz w:val="32"/>
          <w:szCs w:val="32"/>
          <w:highlight w:val="none"/>
        </w:rPr>
        <w:t>有限公司不负责承担参选机构因中标后开展项目应支付的差旅费及其他费用。</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2.参选机构的比选报价应费用适中，不得以低于成本的报价进行恶性竞争，最低比选报价并非中选的唯一条件。</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3.参选机构的比选报价应是固定价，而非浮动价，比选报价</w:t>
      </w:r>
      <w:r>
        <w:rPr>
          <w:rFonts w:hint="default" w:ascii="Times New Roman" w:hAnsi="Times New Roman" w:eastAsia="仿宋_GB2312" w:cs="Times New Roman"/>
          <w:sz w:val="32"/>
          <w:szCs w:val="32"/>
          <w:highlight w:val="none"/>
          <w:lang w:val="en-US" w:eastAsia="zh-CN"/>
        </w:rPr>
        <w:t>12</w:t>
      </w:r>
      <w:r>
        <w:rPr>
          <w:rFonts w:hint="default" w:ascii="Times New Roman" w:hAnsi="Times New Roman" w:eastAsia="仿宋_GB2312" w:cs="Times New Roman"/>
          <w:sz w:val="32"/>
          <w:szCs w:val="32"/>
        </w:rPr>
        <w:t>万元以内。</w:t>
      </w:r>
      <w:r>
        <w:rPr>
          <w:rFonts w:hint="default" w:ascii="Times New Roman" w:hAnsi="Times New Roman" w:eastAsia="仿宋_GB2312" w:cs="Times New Roman"/>
          <w:color w:val="000000"/>
          <w:sz w:val="32"/>
          <w:szCs w:val="32"/>
        </w:rPr>
        <w:t>如在约定期，未招聘到合适的人选，后期拟增加猎头招聘服务，相关费用根据具体招聘人数确定，费用控制在企业领导班子正职6万元/人内，班子副职5万元/人内。</w:t>
      </w:r>
      <w:r>
        <w:rPr>
          <w:rFonts w:hint="default" w:ascii="Times New Roman" w:hAnsi="Times New Roman" w:eastAsia="仿宋_GB2312" w:cs="Times New Roman"/>
          <w:color w:val="000000"/>
          <w:sz w:val="32"/>
          <w:szCs w:val="32"/>
          <w:lang w:val="en-US" w:eastAsia="zh-CN"/>
        </w:rPr>
        <w:t>最终费用根据招聘成果和工作量进行结算。</w:t>
      </w:r>
    </w:p>
    <w:p>
      <w:pPr>
        <w:spacing w:line="560" w:lineRule="exact"/>
        <w:ind w:firstLine="643"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（四）参选项目</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1.参选各单位按照比选文件规定，根据本机构实际资质条件，报名参加该项目的比选。</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2.中选人不得将中选项目转包或分包给其他单位或个人，一经发现将停止其工作，取消本次中选资格，并报行业行政主管部门处理，由其承担因此产生的一切法律责任。</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3.参选机构一旦中选，应严格按照国家有关法律法规规定开展工作，在工作期间，不得更换项目组具体成员，且必须在约定的时间内，保证工作质量，完成工作。</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4.中选人需为比选人提供如下服务：</w:t>
      </w:r>
    </w:p>
    <w:p>
      <w:pPr>
        <w:widowControl/>
        <w:spacing w:line="560" w:lineRule="exact"/>
        <w:ind w:firstLine="640" w:firstLineChars="200"/>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sz w:val="32"/>
          <w:szCs w:val="32"/>
          <w:highlight w:val="none"/>
        </w:rPr>
        <w:t>（1）</w:t>
      </w:r>
      <w:r>
        <w:rPr>
          <w:rFonts w:hint="default" w:ascii="Times New Roman" w:hAnsi="Times New Roman" w:eastAsia="仿宋_GB2312" w:cs="Times New Roman"/>
          <w:color w:val="000000"/>
          <w:sz w:val="32"/>
          <w:szCs w:val="32"/>
          <w:highlight w:val="none"/>
          <w:lang w:val="en-US" w:eastAsia="zh-CN"/>
        </w:rPr>
        <w:t>公告发布及人才邀约；</w:t>
      </w:r>
    </w:p>
    <w:p>
      <w:pPr>
        <w:pStyle w:val="2"/>
        <w:spacing w:line="56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报名系统使用；</w:t>
      </w:r>
    </w:p>
    <w:p>
      <w:pPr>
        <w:pStyle w:val="2"/>
        <w:spacing w:line="56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资格审核及简历筛选；</w:t>
      </w:r>
    </w:p>
    <w:p>
      <w:pPr>
        <w:pStyle w:val="2"/>
        <w:spacing w:line="56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人才测评（包括笔试面试等）；</w:t>
      </w:r>
    </w:p>
    <w:p>
      <w:pPr>
        <w:pStyle w:val="2"/>
        <w:spacing w:line="56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背景调查；</w:t>
      </w:r>
    </w:p>
    <w:p>
      <w:pPr>
        <w:pStyle w:val="2"/>
        <w:spacing w:line="56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组织体检、offer跟进、项目总结报告；</w:t>
      </w:r>
    </w:p>
    <w:p>
      <w:pPr>
        <w:pStyle w:val="2"/>
        <w:spacing w:line="56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猎头招聘服务；</w:t>
      </w:r>
    </w:p>
    <w:p>
      <w:pPr>
        <w:pStyle w:val="2"/>
        <w:spacing w:line="560" w:lineRule="exact"/>
        <w:ind w:firstLine="640" w:firstLineChars="200"/>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8</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其</w:t>
      </w:r>
      <w:r>
        <w:rPr>
          <w:rFonts w:hint="default" w:ascii="Times New Roman" w:hAnsi="Times New Roman" w:eastAsia="仿宋_GB2312" w:cs="Times New Roman"/>
          <w:color w:val="000000"/>
          <w:sz w:val="32"/>
          <w:szCs w:val="32"/>
          <w:highlight w:val="none"/>
          <w:lang w:val="en-US" w:eastAsia="zh-CN"/>
        </w:rPr>
        <w:t>他与招聘服务有关的内容。</w:t>
      </w:r>
    </w:p>
    <w:p>
      <w:pPr>
        <w:spacing w:line="560" w:lineRule="exact"/>
        <w:ind w:firstLine="643"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（五）其他事项</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参选机构应按比选文件规定，按比选项目制作比选申请文件，并对比选申请文件的真实、有效和准确性负责。比选申请文件未按比选文件规定制作的，视为该比选申请文件未能对比选文件做出实质响应，该比选申请文件作废。</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2.评审后，</w:t>
      </w:r>
      <w:r>
        <w:rPr>
          <w:rFonts w:hint="default" w:ascii="Times New Roman" w:hAnsi="Times New Roman" w:eastAsia="仿宋_GB2312" w:cs="Times New Roman"/>
          <w:sz w:val="32"/>
          <w:szCs w:val="32"/>
          <w:lang w:val="zh-CN" w:bidi="zh-CN"/>
        </w:rPr>
        <w:t>评</w:t>
      </w:r>
      <w:r>
        <w:rPr>
          <w:rFonts w:hint="default" w:ascii="Times New Roman" w:hAnsi="Times New Roman" w:eastAsia="仿宋_GB2312" w:cs="Times New Roman"/>
          <w:sz w:val="32"/>
          <w:szCs w:val="32"/>
          <w:lang w:bidi="zh-CN"/>
        </w:rPr>
        <w:t>审</w:t>
      </w:r>
      <w:r>
        <w:rPr>
          <w:rFonts w:hint="default" w:ascii="Times New Roman" w:hAnsi="Times New Roman" w:eastAsia="仿宋_GB2312" w:cs="Times New Roman"/>
          <w:sz w:val="32"/>
          <w:szCs w:val="32"/>
          <w:lang w:val="zh-CN" w:bidi="zh-CN"/>
        </w:rPr>
        <w:t>结果在</w:t>
      </w:r>
      <w:r>
        <w:rPr>
          <w:rFonts w:hint="default" w:ascii="Times New Roman" w:hAnsi="Times New Roman" w:eastAsia="仿宋_GB2312" w:cs="Times New Roman"/>
          <w:sz w:val="32"/>
          <w:szCs w:val="32"/>
          <w:shd w:val="clear" w:color="auto" w:fill="FFFFFF"/>
        </w:rPr>
        <w:t>蜀道投资集团有限责任公司(http://www.shudaojt.com/index.html)</w:t>
      </w:r>
      <w:r>
        <w:rPr>
          <w:rFonts w:hint="default" w:ascii="Times New Roman" w:hAnsi="Times New Roman" w:eastAsia="仿宋_GB2312" w:cs="Times New Roman"/>
          <w:sz w:val="32"/>
          <w:szCs w:val="32"/>
          <w:lang w:val="zh-CN" w:bidi="zh-CN"/>
        </w:rPr>
        <w:t>上公示</w:t>
      </w:r>
      <w:r>
        <w:rPr>
          <w:rFonts w:hint="default" w:ascii="Times New Roman" w:hAnsi="Times New Roman" w:eastAsia="仿宋_GB2312" w:cs="Times New Roman"/>
          <w:sz w:val="32"/>
          <w:szCs w:val="32"/>
          <w:lang w:bidi="zh-CN"/>
        </w:rPr>
        <w:t>3</w:t>
      </w:r>
      <w:r>
        <w:rPr>
          <w:rFonts w:hint="default" w:ascii="Times New Roman" w:hAnsi="Times New Roman" w:eastAsia="仿宋_GB2312" w:cs="Times New Roman"/>
          <w:sz w:val="32"/>
          <w:szCs w:val="32"/>
          <w:lang w:val="zh-CN" w:bidi="zh-CN"/>
        </w:rPr>
        <w:t>个工作日以接受社会公开监督</w:t>
      </w:r>
      <w:r>
        <w:rPr>
          <w:rFonts w:hint="default" w:ascii="Times New Roman" w:hAnsi="Times New Roman" w:eastAsia="仿宋_GB2312" w:cs="Times New Roman"/>
          <w:sz w:val="32"/>
          <w:szCs w:val="32"/>
        </w:rPr>
        <w:t>，比选人不承担对未中选参选机构的解释责任。</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3.参选机构在本次比选过程中如有欺诈、串通作弊、中途无故退出、中选后不承担比选工作任务，或提出其他未在参选文件中明确的条件等行为，比选投标文件将作废。</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4.参选机构在比选过程中发生的一切费用，无论是否中选，均由其自行承担。</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5.无论比选结果如何，参选机构向比选人递交的一切文件资料不予退还。</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任何要求对比选文件澄清的参选机构，均应以书面形式(包括电报、电传、传真)通知比选人。比选人将视情况确定采用适当方式予以澄清或以书面形式予以答复，并在其认为必要时，将不标明查询来源的书面答复寄送给每个参选机构。</w:t>
      </w:r>
    </w:p>
    <w:p>
      <w:pPr>
        <w:spacing w:line="56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7.在比选文件规定比选申请文件递交截止日期前2天，无论出于何种原因，比选人可主动地或在解答参选机构要求澄清的问题时对比选文件进行修改。</w:t>
      </w:r>
    </w:p>
    <w:p>
      <w:pPr>
        <w:spacing w:line="56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比选文件的修改将以书面形式通知所有参选机构，参选机构在收到该通知后应立即以书面的形式予以确认，为使参选机构在准备比选申请文件时，有充分的时间进行研究和修改，比选组织可自行决定，酌情推迟比选申请文件递交截止日期，并以书面形式通知所有参选机构。</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9.比选文件的修改书将构成比选文件的一部分，对参与双方都具有约束力。</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w:t>
      </w:r>
      <w:r>
        <w:rPr>
          <w:rFonts w:hint="default" w:ascii="Times New Roman" w:hAnsi="Times New Roman" w:eastAsia="仿宋_GB2312" w:cs="Times New Roman"/>
          <w:kern w:val="0"/>
          <w:sz w:val="32"/>
          <w:szCs w:val="32"/>
        </w:rPr>
        <w:t>比选人发出中标通知书后，中选人应按照比选人书面通知的时间与比选人签订正式合同。无论任何原因导致本项目终止的，比选人有权不再组织中选人签订正式合同，中标通知书自动作废，比选人不承担任何责任，并由中选人承担因本项目比选投标所产生的一切费用。</w:t>
      </w:r>
    </w:p>
    <w:p>
      <w:pPr>
        <w:spacing w:line="560" w:lineRule="exact"/>
        <w:ind w:firstLine="573"/>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11.参选机构应认真阅读比选文件中所有的事项、格式条款和规范要求等。参选机构没有对比选文件全面做出实质性响应是参选机构的风险。比选人有权拒绝没有对比选文件要求做出实质性响应的比选申请文件。</w:t>
      </w:r>
      <w:bookmarkStart w:id="8" w:name="_Toc448516845"/>
      <w:bookmarkStart w:id="9" w:name="_Toc1301424"/>
    </w:p>
    <w:p>
      <w:pPr>
        <w:spacing w:line="560" w:lineRule="exact"/>
        <w:ind w:firstLine="573"/>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六、比选办法</w:t>
      </w:r>
      <w:bookmarkEnd w:id="8"/>
      <w:bookmarkEnd w:id="9"/>
    </w:p>
    <w:p>
      <w:pPr>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rPr>
        <w:t>1.</w:t>
      </w:r>
      <w:bookmarkStart w:id="10" w:name="_Hlk15383115"/>
      <w:r>
        <w:rPr>
          <w:rFonts w:hint="default" w:ascii="Times New Roman" w:hAnsi="Times New Roman" w:eastAsia="仿宋_GB2312" w:cs="Times New Roman"/>
          <w:kern w:val="0"/>
          <w:sz w:val="32"/>
          <w:szCs w:val="32"/>
        </w:rPr>
        <w:t xml:space="preserve"> </w:t>
      </w:r>
      <w:bookmarkEnd w:id="10"/>
      <w:r>
        <w:rPr>
          <w:rFonts w:hint="default" w:ascii="Times New Roman" w:hAnsi="Times New Roman" w:eastAsia="仿宋_GB2312" w:cs="Times New Roman"/>
          <w:kern w:val="0"/>
          <w:sz w:val="32"/>
          <w:szCs w:val="32"/>
        </w:rPr>
        <w:t>本项目比选时间为202</w:t>
      </w: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highlight w:val="none"/>
        </w:rPr>
        <w:t>年</w:t>
      </w:r>
      <w:r>
        <w:rPr>
          <w:rFonts w:hint="default" w:ascii="Times New Roman" w:hAnsi="Times New Roman" w:eastAsia="仿宋_GB2312" w:cs="Times New Roman"/>
          <w:kern w:val="0"/>
          <w:sz w:val="32"/>
          <w:szCs w:val="32"/>
          <w:highlight w:val="none"/>
          <w:lang w:val="en-US" w:eastAsia="zh-CN"/>
        </w:rPr>
        <w:t>3</w:t>
      </w:r>
      <w:r>
        <w:rPr>
          <w:rFonts w:hint="default" w:ascii="Times New Roman" w:hAnsi="Times New Roman" w:eastAsia="仿宋_GB2312" w:cs="Times New Roman"/>
          <w:kern w:val="0"/>
          <w:sz w:val="32"/>
          <w:szCs w:val="32"/>
          <w:highlight w:val="none"/>
        </w:rPr>
        <w:t>月</w:t>
      </w:r>
      <w:r>
        <w:rPr>
          <w:rFonts w:hint="default" w:ascii="Times New Roman" w:hAnsi="Times New Roman" w:eastAsia="仿宋_GB2312" w:cs="Times New Roman"/>
          <w:kern w:val="0"/>
          <w:sz w:val="32"/>
          <w:szCs w:val="32"/>
          <w:highlight w:val="none"/>
          <w:lang w:val="en-US" w:eastAsia="zh-CN"/>
        </w:rPr>
        <w:t>1</w:t>
      </w:r>
      <w:r>
        <w:rPr>
          <w:rFonts w:hint="eastAsia" w:eastAsia="仿宋_GB2312" w:cs="Times New Roman"/>
          <w:kern w:val="0"/>
          <w:sz w:val="32"/>
          <w:szCs w:val="32"/>
          <w:highlight w:val="none"/>
          <w:lang w:val="en-US" w:eastAsia="zh-CN"/>
        </w:rPr>
        <w:t>5</w:t>
      </w:r>
      <w:r>
        <w:rPr>
          <w:rFonts w:hint="default" w:ascii="Times New Roman" w:hAnsi="Times New Roman" w:eastAsia="仿宋_GB2312" w:cs="Times New Roman"/>
          <w:kern w:val="0"/>
          <w:sz w:val="32"/>
          <w:szCs w:val="32"/>
          <w:highlight w:val="none"/>
        </w:rPr>
        <w:t>日1</w:t>
      </w:r>
      <w:r>
        <w:rPr>
          <w:rFonts w:hint="default" w:ascii="Times New Roman" w:hAnsi="Times New Roman" w:eastAsia="仿宋_GB2312" w:cs="Times New Roman"/>
          <w:kern w:val="0"/>
          <w:sz w:val="32"/>
          <w:szCs w:val="32"/>
          <w:highlight w:val="none"/>
          <w:lang w:val="en-US" w:eastAsia="zh-CN"/>
        </w:rPr>
        <w:t>1</w:t>
      </w:r>
      <w:r>
        <w:rPr>
          <w:rFonts w:hint="default" w:ascii="Times New Roman" w:hAnsi="Times New Roman" w:eastAsia="仿宋_GB2312" w:cs="Times New Roman"/>
          <w:kern w:val="0"/>
          <w:sz w:val="32"/>
          <w:szCs w:val="32"/>
          <w:highlight w:val="none"/>
        </w:rPr>
        <w:t>时00分；</w:t>
      </w:r>
      <w:r>
        <w:rPr>
          <w:rFonts w:hint="default" w:ascii="Times New Roman" w:hAnsi="Times New Roman" w:eastAsia="仿宋_GB2312" w:cs="Times New Roman"/>
          <w:kern w:val="0"/>
          <w:sz w:val="32"/>
          <w:szCs w:val="32"/>
        </w:rPr>
        <w:t>比选地点</w:t>
      </w:r>
      <w:r>
        <w:rPr>
          <w:rFonts w:hint="default" w:ascii="Times New Roman" w:hAnsi="Times New Roman" w:eastAsia="仿宋_GB2312" w:cs="Times New Roman"/>
          <w:kern w:val="0"/>
          <w:sz w:val="32"/>
          <w:szCs w:val="32"/>
          <w:highlight w:val="none"/>
        </w:rPr>
        <w:t>为</w:t>
      </w:r>
      <w:r>
        <w:rPr>
          <w:rFonts w:hint="default" w:ascii="Times New Roman" w:hAnsi="Times New Roman" w:eastAsia="仿宋_GB2312" w:cs="Times New Roman"/>
          <w:sz w:val="32"/>
          <w:szCs w:val="32"/>
          <w:highlight w:val="none"/>
        </w:rPr>
        <w:t>四川</w:t>
      </w:r>
      <w:r>
        <w:rPr>
          <w:rFonts w:hint="default" w:ascii="Times New Roman" w:hAnsi="Times New Roman" w:eastAsia="仿宋_GB2312" w:cs="Times New Roman"/>
          <w:sz w:val="32"/>
          <w:szCs w:val="32"/>
          <w:highlight w:val="none"/>
          <w:lang w:val="en-US" w:eastAsia="zh-CN"/>
        </w:rPr>
        <w:t>蜀道物流</w:t>
      </w:r>
      <w:r>
        <w:rPr>
          <w:rFonts w:hint="default" w:ascii="Times New Roman" w:hAnsi="Times New Roman" w:eastAsia="仿宋_GB2312" w:cs="Times New Roman"/>
          <w:sz w:val="32"/>
          <w:szCs w:val="32"/>
          <w:highlight w:val="none"/>
        </w:rPr>
        <w:t>集团有限公司（成都市青羊区光华北5路266号青羊总部经济基地2栋A座</w:t>
      </w:r>
      <w:r>
        <w:rPr>
          <w:rFonts w:hint="default" w:ascii="Times New Roman" w:hAnsi="Times New Roman" w:eastAsia="仿宋_GB2312" w:cs="Times New Roman"/>
          <w:sz w:val="32"/>
          <w:szCs w:val="32"/>
          <w:highlight w:val="none"/>
          <w:lang w:val="en-US" w:eastAsia="zh-CN"/>
        </w:rPr>
        <w:t>15楼</w:t>
      </w:r>
      <w:r>
        <w:rPr>
          <w:rFonts w:hint="default" w:ascii="Times New Roman" w:hAnsi="Times New Roman" w:eastAsia="仿宋_GB2312" w:cs="Times New Roman"/>
          <w:sz w:val="32"/>
          <w:szCs w:val="32"/>
          <w:highlight w:val="none"/>
        </w:rPr>
        <w:t>）。</w:t>
      </w:r>
    </w:p>
    <w:p>
      <w:pPr>
        <w:spacing w:line="560" w:lineRule="exact"/>
        <w:ind w:firstLine="658"/>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2.比选时，比选人将当众查验比选申请文件密封情况，参选机构代表身份证原件，确认无误后拆封，宣读参选机构名称、撤销比选申请通知(如果有)以及比选人认为合适的其他内容并加以记录。</w:t>
      </w:r>
    </w:p>
    <w:p>
      <w:pPr>
        <w:spacing w:line="560" w:lineRule="exact"/>
        <w:ind w:firstLine="66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3.对按本比选文件规定的格式、内容和要求制作的比选申请文件进行符合性审查，只有通过符合性审查的比选申请文件才能进入下一阶段的评审，符合性审查的主要内容如下：</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（1）比选申请文件是否齐全，是否按照比选文件规定的格式、内容填写；</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（2）比选申请文件正、副本是否按比选文件规定分别密封、标注，是否签字和加盖公章；</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（3）比选申请文件正、副本主要条款是否—致；</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（4）比选报价为固定价，而非浮动价；</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（5）比选申请文件是否按时递交；</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（6）是否符合国家有关法规、文件和标准要求；</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（7）比选申请文件是否附有比选人不能接受的条件。</w:t>
      </w:r>
    </w:p>
    <w:p>
      <w:pPr>
        <w:spacing w:line="56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4.无论何种原因，在比选时没有启封和宣读的比选申请文件在比选时将不予考虑，比选人对此不承担任何责任。</w:t>
      </w:r>
    </w:p>
    <w:p>
      <w:pPr>
        <w:spacing w:line="56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5.比选评审组判断比选申请文件的响应性仅基于比选申请文件本身而不能依靠外部证据。</w:t>
      </w:r>
    </w:p>
    <w:p>
      <w:pPr>
        <w:spacing w:line="56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6.为有助于对比选申请文件进行审查、评估和比较，比选人有权向参选机构质疑，请参选机构澄清其比选申请内容。参选机构须按照比选人通知的时间、地点指派专人进行答疑和澄清。</w:t>
      </w:r>
    </w:p>
    <w:p>
      <w:pPr>
        <w:spacing w:line="56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比选评审组评委根据比选文件规定对各参选机构的比选申请文件进行评议比较和打分。汇总各评委的评分结果，比选机构按得分高低顺序排出各项目比选名次。综合评分相同的，按报价评分由高到低顺序排列；综合评分相同，且报价评分相同的，按质量评分由高到低顺序排列；综合评分相同，且报价评分、质量评分均相同的，按保密评分由高到低顺序排列；综合评分相同，且报价评分、质量评分、保密评分均相同名次由评审组抽签决定，评审组按上述排列顺序向比选人推荐中选候选人。</w:t>
      </w:r>
    </w:p>
    <w:p>
      <w:pPr>
        <w:spacing w:line="560" w:lineRule="exact"/>
        <w:ind w:firstLine="57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8.比选实行综合评分法。评审组按照比选文件中附件七《比选评审办法》规定，分别评定各参选机构加分分值，加总各项分值之和即构成各参选机构的综合评分得分。</w:t>
      </w:r>
    </w:p>
    <w:p>
      <w:pPr>
        <w:spacing w:line="560" w:lineRule="exact"/>
        <w:ind w:firstLine="57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9.比选评审中，一个计分内容出现2个或2个以上计分，或评分高出单项分值明显不合理，或违反比选文件规定的评分，均为无效计分。 </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10.比选评审组成员采用记名评分的方式，在评分表中的任何改写处，均必须由该评分人员小签。</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11.比选评审组通过比选报告推荐标有排序的前3位为中选候选人，同时报告比选过程中的其他事项，比选报告应由比选评审组全体评委和监督人员签字。</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12.比选人确定得分排名第1位的为中选人，排名前面的中选人主动放弃中选或因不可抗力提出不能履行合同的，比选人可以确定排名在其后的为中选人，依次类推。</w:t>
      </w:r>
    </w:p>
    <w:p>
      <w:pPr>
        <w:spacing w:line="560" w:lineRule="exact"/>
        <w:ind w:firstLine="57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13.评比结束定标后，比选人应及时向中选人发出《中选通知书》。</w:t>
      </w:r>
    </w:p>
    <w:p>
      <w:pPr>
        <w:spacing w:line="560" w:lineRule="exact"/>
        <w:ind w:firstLine="57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rPr>
        <w:t>14.经批准，</w:t>
      </w:r>
      <w:r>
        <w:rPr>
          <w:rFonts w:hint="default" w:ascii="Times New Roman" w:hAnsi="Times New Roman" w:eastAsia="仿宋_GB2312" w:cs="Times New Roman"/>
          <w:sz w:val="32"/>
          <w:szCs w:val="32"/>
          <w:highlight w:val="none"/>
        </w:rPr>
        <w:t>四川</w:t>
      </w:r>
      <w:r>
        <w:rPr>
          <w:rFonts w:hint="default" w:ascii="Times New Roman" w:hAnsi="Times New Roman" w:eastAsia="仿宋_GB2312" w:cs="Times New Roman"/>
          <w:sz w:val="32"/>
          <w:szCs w:val="32"/>
          <w:highlight w:val="none"/>
          <w:lang w:val="en-US" w:eastAsia="zh-CN"/>
        </w:rPr>
        <w:t>蜀道物流</w:t>
      </w:r>
      <w:r>
        <w:rPr>
          <w:rFonts w:hint="default" w:ascii="Times New Roman" w:hAnsi="Times New Roman" w:eastAsia="仿宋_GB2312" w:cs="Times New Roman"/>
          <w:sz w:val="32"/>
          <w:szCs w:val="32"/>
          <w:highlight w:val="none"/>
        </w:rPr>
        <w:t>集团有限公司应依据《中选通知书》，与中选人协商项目工作相关事宜。中选人因故放弃中选或提出不能履行合同的，四川</w:t>
      </w:r>
      <w:r>
        <w:rPr>
          <w:rFonts w:hint="default" w:ascii="Times New Roman" w:hAnsi="Times New Roman" w:eastAsia="仿宋_GB2312" w:cs="Times New Roman"/>
          <w:sz w:val="32"/>
          <w:szCs w:val="32"/>
          <w:highlight w:val="none"/>
          <w:lang w:val="en-US" w:eastAsia="zh-CN"/>
        </w:rPr>
        <w:t>蜀道物流</w:t>
      </w:r>
      <w:r>
        <w:rPr>
          <w:rFonts w:hint="default" w:ascii="Times New Roman" w:hAnsi="Times New Roman" w:eastAsia="仿宋_GB2312" w:cs="Times New Roman"/>
          <w:sz w:val="32"/>
          <w:szCs w:val="32"/>
          <w:highlight w:val="none"/>
        </w:rPr>
        <w:t>集团有限公司应依据比选结果确定该比选项目排名第二的替补为中选候选人，并依次类推。</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highlight w:val="none"/>
        </w:rPr>
        <w:t>15.四川</w:t>
      </w:r>
      <w:r>
        <w:rPr>
          <w:rFonts w:hint="default" w:ascii="Times New Roman" w:hAnsi="Times New Roman" w:eastAsia="仿宋_GB2312" w:cs="Times New Roman"/>
          <w:sz w:val="32"/>
          <w:szCs w:val="32"/>
          <w:highlight w:val="none"/>
          <w:lang w:val="en-US" w:eastAsia="zh-CN"/>
        </w:rPr>
        <w:t>蜀道物流集团</w:t>
      </w:r>
      <w:r>
        <w:rPr>
          <w:rFonts w:hint="default" w:ascii="Times New Roman" w:hAnsi="Times New Roman" w:eastAsia="仿宋_GB2312" w:cs="Times New Roman"/>
          <w:sz w:val="32"/>
          <w:szCs w:val="32"/>
          <w:highlight w:val="none"/>
        </w:rPr>
        <w:t>有限公司根据比选</w:t>
      </w:r>
      <w:r>
        <w:rPr>
          <w:rFonts w:hint="default" w:ascii="Times New Roman" w:hAnsi="Times New Roman" w:eastAsia="仿宋_GB2312" w:cs="Times New Roman"/>
          <w:sz w:val="32"/>
          <w:szCs w:val="32"/>
        </w:rPr>
        <w:t>结果和协商情况，最终确定委托</w:t>
      </w:r>
      <w:r>
        <w:rPr>
          <w:rFonts w:hint="default" w:ascii="Times New Roman" w:hAnsi="Times New Roman" w:eastAsia="仿宋_GB2312" w:cs="Times New Roman"/>
          <w:sz w:val="32"/>
          <w:szCs w:val="32"/>
          <w:lang w:val="en-US" w:eastAsia="zh-CN"/>
        </w:rPr>
        <w:t>招聘服务</w:t>
      </w:r>
      <w:r>
        <w:rPr>
          <w:rFonts w:hint="default" w:ascii="Times New Roman" w:hAnsi="Times New Roman" w:eastAsia="仿宋_GB2312" w:cs="Times New Roman"/>
          <w:sz w:val="32"/>
          <w:szCs w:val="32"/>
        </w:rPr>
        <w:t>单位，与中选人共同签订服务合同。</w:t>
      </w:r>
    </w:p>
    <w:p>
      <w:pPr>
        <w:spacing w:line="560" w:lineRule="exact"/>
        <w:rPr>
          <w:rFonts w:hint="default" w:ascii="Times New Roman" w:hAnsi="Times New Roman" w:eastAsia="仿宋_GB2312" w:cs="Times New Roman"/>
          <w:sz w:val="32"/>
          <w:szCs w:val="32"/>
        </w:rPr>
      </w:pPr>
    </w:p>
    <w:p>
      <w:pPr>
        <w:widowControl/>
        <w:spacing w:line="56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pStyle w:val="3"/>
        <w:spacing w:line="56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附件一：比选申请书格式</w:t>
      </w:r>
    </w:p>
    <w:p>
      <w:pPr>
        <w:spacing w:line="560" w:lineRule="exact"/>
        <w:jc w:val="center"/>
        <w:rPr>
          <w:rFonts w:hint="default" w:ascii="Times New Roman" w:hAnsi="Times New Roman" w:eastAsia="方正小标宋_GBK" w:cs="Times New Roman"/>
          <w:b/>
          <w:bCs/>
          <w:sz w:val="44"/>
          <w:szCs w:val="44"/>
        </w:rPr>
      </w:pPr>
      <w:r>
        <w:rPr>
          <w:rFonts w:hint="default" w:ascii="Times New Roman" w:hAnsi="Times New Roman" w:eastAsia="方正小标宋_GBK" w:cs="Times New Roman"/>
          <w:b/>
          <w:bCs/>
          <w:sz w:val="44"/>
          <w:szCs w:val="44"/>
        </w:rPr>
        <w:t>比选申请书</w:t>
      </w:r>
    </w:p>
    <w:p>
      <w:pPr>
        <w:spacing w:line="560" w:lineRule="exac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rPr>
        <w:t>致：</w:t>
      </w:r>
      <w:r>
        <w:rPr>
          <w:rFonts w:hint="default" w:ascii="Times New Roman" w:hAnsi="Times New Roman" w:eastAsia="仿宋_GB2312" w:cs="Times New Roman"/>
          <w:sz w:val="32"/>
          <w:szCs w:val="32"/>
          <w:highlight w:val="none"/>
        </w:rPr>
        <w:t>四川</w:t>
      </w:r>
      <w:r>
        <w:rPr>
          <w:rFonts w:hint="default" w:ascii="Times New Roman" w:hAnsi="Times New Roman" w:eastAsia="仿宋_GB2312" w:cs="Times New Roman"/>
          <w:sz w:val="32"/>
          <w:szCs w:val="32"/>
          <w:highlight w:val="none"/>
          <w:lang w:val="en-US" w:eastAsia="zh-CN"/>
        </w:rPr>
        <w:t>蜀道物流</w:t>
      </w:r>
      <w:r>
        <w:rPr>
          <w:rFonts w:hint="default" w:ascii="Times New Roman" w:hAnsi="Times New Roman" w:eastAsia="仿宋_GB2312" w:cs="Times New Roman"/>
          <w:sz w:val="32"/>
          <w:szCs w:val="32"/>
          <w:highlight w:val="none"/>
        </w:rPr>
        <w:t>集团有限公司：</w:t>
      </w:r>
    </w:p>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我方确认收到贵方提供的</w:t>
      </w:r>
      <w:r>
        <w:rPr>
          <w:rFonts w:hint="default" w:ascii="Times New Roman" w:hAnsi="Times New Roman" w:eastAsia="仿宋_GB2312" w:cs="Times New Roman"/>
          <w:sz w:val="32"/>
          <w:szCs w:val="32"/>
          <w:lang w:val="en-US" w:eastAsia="zh-CN"/>
        </w:rPr>
        <w:t>招聘</w:t>
      </w:r>
      <w:r>
        <w:rPr>
          <w:rFonts w:hint="default" w:ascii="Times New Roman" w:hAnsi="Times New Roman" w:eastAsia="仿宋_GB2312" w:cs="Times New Roman"/>
          <w:sz w:val="32"/>
          <w:szCs w:val="32"/>
        </w:rPr>
        <w:t>服务项目比选文件的全部内容。</w:t>
      </w:r>
    </w:p>
    <w:p>
      <w:pPr>
        <w:spacing w:line="560" w:lineRule="exact"/>
        <w:ind w:firstLine="480"/>
        <w:rPr>
          <w:rFonts w:hint="default" w:ascii="Times New Roman" w:hAnsi="Times New Roman" w:cs="Times New Roman"/>
          <w:szCs w:val="32"/>
        </w:rPr>
      </w:pPr>
      <w:r>
        <w:rPr>
          <w:rFonts w:hint="default" w:ascii="Times New Roman" w:hAnsi="Times New Roman" w:eastAsia="仿宋_GB2312" w:cs="Times New Roman"/>
          <w:sz w:val="32"/>
          <w:szCs w:val="32"/>
        </w:rPr>
        <w:t>我方：</w:t>
      </w:r>
      <w:r>
        <w:rPr>
          <w:rFonts w:hint="default" w:ascii="Times New Roman" w:hAnsi="Times New Roman" w:eastAsia="仿宋_GB2312" w:cs="Times New Roman"/>
          <w:sz w:val="32"/>
          <w:szCs w:val="32"/>
          <w:u w:val="single"/>
        </w:rPr>
        <w:t xml:space="preserve">  (参选机构全称)  </w:t>
      </w:r>
      <w:r>
        <w:rPr>
          <w:rFonts w:hint="default" w:ascii="Times New Roman" w:hAnsi="Times New Roman" w:eastAsia="仿宋_GB2312" w:cs="Times New Roman"/>
          <w:sz w:val="32"/>
          <w:szCs w:val="32"/>
        </w:rPr>
        <w:t>作为参选机构正式授权</w:t>
      </w:r>
      <w:r>
        <w:rPr>
          <w:rFonts w:hint="default" w:ascii="Times New Roman" w:hAnsi="Times New Roman" w:eastAsia="仿宋_GB2312" w:cs="Times New Roman"/>
          <w:sz w:val="32"/>
          <w:szCs w:val="32"/>
          <w:u w:val="single"/>
        </w:rPr>
        <w:t>(授权代表姓名         ，职务         )</w:t>
      </w:r>
      <w:r>
        <w:rPr>
          <w:rFonts w:hint="default" w:ascii="Times New Roman" w:hAnsi="Times New Roman" w:eastAsia="仿宋_GB2312" w:cs="Times New Roman"/>
          <w:sz w:val="32"/>
          <w:szCs w:val="32"/>
        </w:rPr>
        <w:t>代表我方进行有关本次比选的一切事宜。在此提交的比选申请文件，正本一份，副本五份。包括如下内容：</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（一）比选申请书；</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（二）法定代表人本人身份证复印件。如果有委托代理人的，应同时附法定代表人授权书、法定代表人身份复印件、委托代理人身份证复印件；</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（三）工作方案、保证措施及时间进度表；</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（四）项目小组构成、项目负责人、现场负责人及成员简介及其相关资格证书的复印件；</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（五）比选报价表，即对</w:t>
      </w:r>
      <w:r>
        <w:rPr>
          <w:rFonts w:hint="default" w:ascii="Times New Roman" w:hAnsi="Times New Roman" w:eastAsia="仿宋_GB2312" w:cs="Times New Roman"/>
          <w:sz w:val="32"/>
          <w:szCs w:val="32"/>
          <w:lang w:val="en-US" w:eastAsia="zh-CN"/>
        </w:rPr>
        <w:t>招聘</w:t>
      </w:r>
      <w:r>
        <w:rPr>
          <w:rFonts w:hint="default" w:ascii="Times New Roman" w:hAnsi="Times New Roman" w:eastAsia="仿宋_GB2312" w:cs="Times New Roman"/>
          <w:sz w:val="32"/>
          <w:szCs w:val="32"/>
        </w:rPr>
        <w:t>服务项目的包干总价服务费；</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（六）营业执照副本、相关资质影印件；</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（七）承诺书与保密协议书；</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（八）近年，完成</w:t>
      </w:r>
      <w:r>
        <w:rPr>
          <w:rFonts w:hint="default" w:ascii="Times New Roman" w:hAnsi="Times New Roman" w:eastAsia="仿宋_GB2312" w:cs="Times New Roman"/>
          <w:sz w:val="32"/>
          <w:szCs w:val="32"/>
          <w:lang w:val="en-US" w:eastAsia="zh-CN"/>
        </w:rPr>
        <w:t>招聘</w:t>
      </w:r>
      <w:r>
        <w:rPr>
          <w:rFonts w:hint="default" w:ascii="Times New Roman" w:hAnsi="Times New Roman" w:eastAsia="仿宋_GB2312" w:cs="Times New Roman"/>
          <w:sz w:val="32"/>
          <w:szCs w:val="32"/>
        </w:rPr>
        <w:t>服务项目清单，并提供相应的证明材料。</w:t>
      </w:r>
    </w:p>
    <w:p>
      <w:pPr>
        <w:spacing w:line="560" w:lineRule="exact"/>
        <w:ind w:firstLine="46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我方己完全明白比选文件的所有条款要求，并重申以下几点：</w:t>
      </w:r>
    </w:p>
    <w:p>
      <w:pPr>
        <w:spacing w:line="560" w:lineRule="exact"/>
        <w:ind w:firstLine="48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(一)我方决定参加此次比选的</w:t>
      </w:r>
      <w:r>
        <w:rPr>
          <w:rFonts w:hint="default" w:ascii="Times New Roman" w:hAnsi="Times New Roman" w:eastAsia="仿宋_GB2312" w:cs="Times New Roman"/>
          <w:sz w:val="32"/>
          <w:szCs w:val="32"/>
          <w:lang w:val="en-US" w:eastAsia="zh-CN"/>
        </w:rPr>
        <w:t>招聘</w:t>
      </w:r>
      <w:r>
        <w:rPr>
          <w:rFonts w:hint="default" w:ascii="Times New Roman" w:hAnsi="Times New Roman" w:eastAsia="仿宋_GB2312" w:cs="Times New Roman"/>
          <w:sz w:val="32"/>
          <w:szCs w:val="32"/>
        </w:rPr>
        <w:t>服务项目工作。</w:t>
      </w:r>
    </w:p>
    <w:p>
      <w:pPr>
        <w:spacing w:line="560" w:lineRule="exact"/>
        <w:ind w:firstLine="48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(二)已经实施全部有关服务的比选报价及详细预算。</w:t>
      </w:r>
    </w:p>
    <w:p>
      <w:pPr>
        <w:spacing w:line="560" w:lineRule="exact"/>
        <w:ind w:firstLine="48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(三)本比选申请文件的有效期至比选截止日后30天有效，如中选，有效期将延至合同终止日止。</w:t>
      </w:r>
    </w:p>
    <w:p>
      <w:pPr>
        <w:spacing w:line="560" w:lineRule="exact"/>
        <w:ind w:firstLine="48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(四)我方已详细研究了比选文件的所有内容包括修正文件(如果有的话)和所有已提供的参考资料以及有关附件并完全明白。我方放弃在此方面提出含糊意见或误解的一切权力。</w:t>
      </w:r>
    </w:p>
    <w:p>
      <w:pPr>
        <w:spacing w:line="560" w:lineRule="exact"/>
        <w:ind w:firstLine="46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(五)我方同意按照贵方可能提出的要求而提供与比选有关的任何其它数据或信息。</w:t>
      </w:r>
    </w:p>
    <w:p>
      <w:pPr>
        <w:spacing w:line="560" w:lineRule="exact"/>
        <w:ind w:firstLine="46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(六)我方如果中选，将保证履行比选文件以及比选文件修改书(如果有的话)中全部责任和义务，按质、按量、按期完成《合同书》中的全部任务。</w:t>
      </w:r>
    </w:p>
    <w:p>
      <w:pPr>
        <w:spacing w:line="560" w:lineRule="exact"/>
        <w:ind w:firstLine="46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(七)所有与本次比选有关的函件请发往下列地址：</w:t>
      </w:r>
    </w:p>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地    址：  </w:t>
      </w:r>
    </w:p>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邮政编码：          电话：         传真：           </w:t>
      </w:r>
    </w:p>
    <w:p>
      <w:pPr>
        <w:spacing w:line="560" w:lineRule="exact"/>
        <w:ind w:left="-315" w:leftChars="-1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代表姓名：             </w:t>
      </w:r>
    </w:p>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职    务：</w:t>
      </w:r>
    </w:p>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参选机构（法人公章）</w:t>
      </w:r>
    </w:p>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参选机构地址：</w:t>
      </w:r>
    </w:p>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授权代表姓名（签名或盖章）</w:t>
      </w:r>
    </w:p>
    <w:p>
      <w:pPr>
        <w:spacing w:line="560" w:lineRule="exact"/>
        <w:ind w:right="1200" w:firstLine="6080" w:firstLineChars="19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日  期：</w:t>
      </w:r>
    </w:p>
    <w:p>
      <w:pPr>
        <w:widowControl/>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pStyle w:val="3"/>
        <w:spacing w:line="56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附件二：法定代表人授权书格式</w:t>
      </w:r>
    </w:p>
    <w:p>
      <w:pPr>
        <w:spacing w:line="560" w:lineRule="exact"/>
        <w:jc w:val="center"/>
        <w:rPr>
          <w:rFonts w:hint="default" w:ascii="Times New Roman" w:hAnsi="Times New Roman" w:eastAsia="方正小标宋_GBK" w:cs="Times New Roman"/>
          <w:b/>
          <w:bCs/>
          <w:sz w:val="44"/>
          <w:szCs w:val="44"/>
        </w:rPr>
      </w:pPr>
      <w:r>
        <w:rPr>
          <w:rFonts w:hint="default" w:ascii="Times New Roman" w:hAnsi="Times New Roman" w:eastAsia="方正小标宋_GBK" w:cs="Times New Roman"/>
          <w:b/>
          <w:bCs/>
          <w:sz w:val="44"/>
          <w:szCs w:val="44"/>
        </w:rPr>
        <w:t>法定代表人授权书</w:t>
      </w:r>
    </w:p>
    <w:p>
      <w:pPr>
        <w:spacing w:line="560" w:lineRule="exac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致：四川</w:t>
      </w:r>
      <w:r>
        <w:rPr>
          <w:rFonts w:hint="default" w:ascii="Times New Roman" w:hAnsi="Times New Roman" w:eastAsia="仿宋_GB2312" w:cs="Times New Roman"/>
          <w:sz w:val="32"/>
          <w:szCs w:val="32"/>
          <w:highlight w:val="none"/>
          <w:lang w:val="en-US" w:eastAsia="zh-CN"/>
        </w:rPr>
        <w:t>蜀道物流</w:t>
      </w:r>
      <w:r>
        <w:rPr>
          <w:rFonts w:hint="default" w:ascii="Times New Roman" w:hAnsi="Times New Roman" w:eastAsia="仿宋_GB2312" w:cs="Times New Roman"/>
          <w:sz w:val="32"/>
          <w:szCs w:val="32"/>
          <w:highlight w:val="none"/>
        </w:rPr>
        <w:t>集团有限公司</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本授权书声明：注册于</w:t>
      </w:r>
      <w:r>
        <w:rPr>
          <w:rFonts w:hint="default" w:ascii="Times New Roman" w:hAnsi="Times New Roman" w:eastAsia="仿宋_GB2312" w:cs="Times New Roman"/>
          <w:sz w:val="32"/>
          <w:szCs w:val="32"/>
          <w:u w:val="single"/>
        </w:rPr>
        <w:t xml:space="preserve">        (国家或地区)</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u w:val="single"/>
        </w:rPr>
        <w:t>(参选机构全称)</w:t>
      </w:r>
      <w:r>
        <w:rPr>
          <w:rFonts w:hint="default" w:ascii="Times New Roman" w:hAnsi="Times New Roman" w:eastAsia="仿宋_GB2312" w:cs="Times New Roman"/>
          <w:sz w:val="32"/>
          <w:szCs w:val="32"/>
        </w:rPr>
        <w:t>在下面签字的</w:t>
      </w:r>
      <w:r>
        <w:rPr>
          <w:rFonts w:hint="default" w:ascii="Times New Roman" w:hAnsi="Times New Roman" w:eastAsia="仿宋_GB2312" w:cs="Times New Roman"/>
          <w:sz w:val="32"/>
          <w:szCs w:val="32"/>
          <w:u w:val="single"/>
        </w:rPr>
        <w:t xml:space="preserve">      (法定代表人姓名、职务)</w:t>
      </w:r>
      <w:r>
        <w:rPr>
          <w:rFonts w:hint="default" w:ascii="Times New Roman" w:hAnsi="Times New Roman" w:eastAsia="仿宋_GB2312" w:cs="Times New Roman"/>
          <w:sz w:val="32"/>
          <w:szCs w:val="32"/>
        </w:rPr>
        <w:t>代表本公司授权在下面签字的</w:t>
      </w:r>
      <w:r>
        <w:rPr>
          <w:rFonts w:hint="default" w:ascii="Times New Roman" w:hAnsi="Times New Roman" w:eastAsia="仿宋_GB2312" w:cs="Times New Roman"/>
          <w:sz w:val="32"/>
          <w:szCs w:val="32"/>
          <w:u w:val="single"/>
        </w:rPr>
        <w:t>(被授权人的姓名、职务)</w:t>
      </w:r>
      <w:r>
        <w:rPr>
          <w:rFonts w:hint="default" w:ascii="Times New Roman" w:hAnsi="Times New Roman" w:eastAsia="仿宋_GB2312" w:cs="Times New Roman"/>
          <w:sz w:val="32"/>
          <w:szCs w:val="32"/>
        </w:rPr>
        <w:t>为本公司的合法代表人，就</w:t>
      </w:r>
      <w:r>
        <w:rPr>
          <w:rFonts w:hint="default" w:ascii="Times New Roman" w:hAnsi="Times New Roman" w:eastAsia="仿宋_GB2312" w:cs="Times New Roman"/>
          <w:sz w:val="32"/>
          <w:szCs w:val="32"/>
          <w:lang w:val="en-US" w:eastAsia="zh-CN"/>
        </w:rPr>
        <w:t>招聘</w:t>
      </w:r>
      <w:r>
        <w:rPr>
          <w:rFonts w:hint="default" w:ascii="Times New Roman" w:hAnsi="Times New Roman" w:eastAsia="仿宋_GB2312" w:cs="Times New Roman"/>
          <w:sz w:val="32"/>
          <w:szCs w:val="32"/>
        </w:rPr>
        <w:t>服务比选申请文件和中选后的合同执行，以我方的名义处理一切与之有关的事宜。</w:t>
      </w:r>
    </w:p>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本授权书于    年    月    日签字生效，特此声明。</w:t>
      </w:r>
    </w:p>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参选机构（法人公章）</w:t>
      </w:r>
    </w:p>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地    址：</w:t>
      </w:r>
    </w:p>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法定代表人(签字或盖章)：</w:t>
      </w:r>
    </w:p>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职    务：</w:t>
      </w:r>
    </w:p>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被授权人(签字或盖章)：</w:t>
      </w:r>
    </w:p>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职    务：</w:t>
      </w:r>
    </w:p>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日    期：</w:t>
      </w:r>
    </w:p>
    <w:p>
      <w:pPr>
        <w:spacing w:line="360" w:lineRule="auto"/>
        <w:rPr>
          <w:rFonts w:hint="default" w:ascii="Times New Roman" w:hAnsi="Times New Roman" w:eastAsia="仿宋_GB2312" w:cs="Times New Roman"/>
          <w:sz w:val="32"/>
          <w:szCs w:val="32"/>
        </w:rPr>
      </w:pPr>
    </w:p>
    <w:p>
      <w:pPr>
        <w:widowControl/>
        <w:jc w:val="left"/>
        <w:rPr>
          <w:rFonts w:hint="default" w:ascii="Times New Roman" w:hAnsi="Times New Roman" w:eastAsia="黑体" w:cs="Times New Roman"/>
          <w:b/>
          <w:bCs/>
          <w:kern w:val="44"/>
          <w:sz w:val="32"/>
          <w:szCs w:val="32"/>
        </w:rPr>
      </w:pPr>
      <w:r>
        <w:rPr>
          <w:rFonts w:hint="default" w:ascii="Times New Roman" w:hAnsi="Times New Roman" w:eastAsia="黑体" w:cs="Times New Roman"/>
          <w:sz w:val="32"/>
          <w:szCs w:val="32"/>
        </w:rPr>
        <w:br w:type="page"/>
      </w:r>
    </w:p>
    <w:p>
      <w:pPr>
        <w:pStyle w:val="3"/>
        <w:rPr>
          <w:rFonts w:hint="default" w:ascii="Times New Roman" w:hAnsi="Times New Roman" w:eastAsia="黑体" w:cs="Times New Roman"/>
          <w:sz w:val="32"/>
          <w:szCs w:val="32"/>
        </w:rPr>
      </w:pPr>
      <w:bookmarkStart w:id="11" w:name="_Toc1301427"/>
      <w:r>
        <w:rPr>
          <w:rFonts w:hint="default" w:ascii="Times New Roman" w:hAnsi="Times New Roman" w:eastAsia="黑体" w:cs="Times New Roman"/>
          <w:sz w:val="32"/>
          <w:szCs w:val="32"/>
        </w:rPr>
        <w:t>附件三：项目小组构成及成员基本情况</w:t>
      </w:r>
      <w:bookmarkEnd w:id="11"/>
    </w:p>
    <w:p>
      <w:pPr>
        <w:spacing w:line="360" w:lineRule="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一、项目负责人及项目主要参与人员基本情况</w:t>
      </w:r>
    </w:p>
    <w:tbl>
      <w:tblPr>
        <w:tblStyle w:val="11"/>
        <w:tblW w:w="829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15"/>
        <w:gridCol w:w="910"/>
        <w:gridCol w:w="2519"/>
        <w:gridCol w:w="1804"/>
        <w:gridCol w:w="1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115" w:type="dxa"/>
            <w:vAlign w:val="center"/>
          </w:tcPr>
          <w:p>
            <w:pPr>
              <w:snapToGrid w:val="0"/>
              <w:ind w:left="-57" w:right="-57"/>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姓名</w:t>
            </w:r>
          </w:p>
        </w:tc>
        <w:tc>
          <w:tcPr>
            <w:tcW w:w="910" w:type="dxa"/>
            <w:vAlign w:val="center"/>
          </w:tcPr>
          <w:p>
            <w:pPr>
              <w:snapToGrid w:val="0"/>
              <w:ind w:left="-57" w:right="-57"/>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年龄</w:t>
            </w:r>
          </w:p>
        </w:tc>
        <w:tc>
          <w:tcPr>
            <w:tcW w:w="2519" w:type="dxa"/>
            <w:vAlign w:val="center"/>
          </w:tcPr>
          <w:p>
            <w:pPr>
              <w:snapToGrid w:val="0"/>
              <w:ind w:left="-57" w:right="-57"/>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类似工作</w:t>
            </w:r>
          </w:p>
          <w:p>
            <w:pPr>
              <w:snapToGrid w:val="0"/>
              <w:ind w:left="-57" w:right="-57"/>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经验年限</w:t>
            </w:r>
          </w:p>
        </w:tc>
        <w:tc>
          <w:tcPr>
            <w:tcW w:w="1804" w:type="dxa"/>
            <w:vAlign w:val="center"/>
          </w:tcPr>
          <w:p>
            <w:pPr>
              <w:snapToGrid w:val="0"/>
              <w:ind w:left="-57" w:right="-57"/>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拟任职务</w:t>
            </w:r>
          </w:p>
        </w:tc>
        <w:tc>
          <w:tcPr>
            <w:tcW w:w="1942" w:type="dxa"/>
            <w:vAlign w:val="center"/>
          </w:tcPr>
          <w:p>
            <w:pPr>
              <w:snapToGrid w:val="0"/>
              <w:ind w:left="-57" w:right="-57"/>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项目经验业绩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115" w:type="dxa"/>
            <w:vAlign w:val="center"/>
          </w:tcPr>
          <w:p>
            <w:pPr>
              <w:snapToGrid w:val="0"/>
              <w:ind w:left="-57" w:right="-57"/>
              <w:jc w:val="center"/>
              <w:rPr>
                <w:rFonts w:hint="default" w:ascii="Times New Roman" w:hAnsi="Times New Roman" w:eastAsia="仿宋_GB2312" w:cs="Times New Roman"/>
                <w:kern w:val="0"/>
                <w:sz w:val="24"/>
              </w:rPr>
            </w:pPr>
          </w:p>
          <w:p>
            <w:pPr>
              <w:snapToGrid w:val="0"/>
              <w:ind w:left="-57" w:right="-57"/>
              <w:jc w:val="center"/>
              <w:rPr>
                <w:rFonts w:hint="default" w:ascii="Times New Roman" w:hAnsi="Times New Roman" w:eastAsia="仿宋_GB2312" w:cs="Times New Roman"/>
                <w:kern w:val="0"/>
                <w:sz w:val="24"/>
              </w:rPr>
            </w:pPr>
          </w:p>
        </w:tc>
        <w:tc>
          <w:tcPr>
            <w:tcW w:w="910" w:type="dxa"/>
            <w:vAlign w:val="center"/>
          </w:tcPr>
          <w:p>
            <w:pPr>
              <w:snapToGrid w:val="0"/>
              <w:ind w:left="-57" w:right="-57"/>
              <w:jc w:val="center"/>
              <w:rPr>
                <w:rFonts w:hint="default" w:ascii="Times New Roman" w:hAnsi="Times New Roman" w:eastAsia="仿宋_GB2312" w:cs="Times New Roman"/>
                <w:kern w:val="0"/>
                <w:sz w:val="24"/>
              </w:rPr>
            </w:pPr>
          </w:p>
        </w:tc>
        <w:tc>
          <w:tcPr>
            <w:tcW w:w="2519" w:type="dxa"/>
            <w:vAlign w:val="center"/>
          </w:tcPr>
          <w:p>
            <w:pPr>
              <w:snapToGrid w:val="0"/>
              <w:ind w:left="-57" w:right="-57"/>
              <w:jc w:val="center"/>
              <w:rPr>
                <w:rFonts w:hint="default" w:ascii="Times New Roman" w:hAnsi="Times New Roman" w:eastAsia="仿宋_GB2312" w:cs="Times New Roman"/>
                <w:kern w:val="0"/>
                <w:sz w:val="24"/>
              </w:rPr>
            </w:pPr>
          </w:p>
        </w:tc>
        <w:tc>
          <w:tcPr>
            <w:tcW w:w="1804" w:type="dxa"/>
            <w:vAlign w:val="center"/>
          </w:tcPr>
          <w:p>
            <w:pPr>
              <w:snapToGrid w:val="0"/>
              <w:ind w:left="-57" w:right="-57"/>
              <w:jc w:val="center"/>
              <w:rPr>
                <w:rFonts w:hint="default" w:ascii="Times New Roman" w:hAnsi="Times New Roman" w:eastAsia="仿宋_GB2312" w:cs="Times New Roman"/>
                <w:kern w:val="0"/>
                <w:sz w:val="24"/>
              </w:rPr>
            </w:pPr>
          </w:p>
        </w:tc>
        <w:tc>
          <w:tcPr>
            <w:tcW w:w="1942" w:type="dxa"/>
          </w:tcPr>
          <w:p>
            <w:pPr>
              <w:snapToGrid w:val="0"/>
              <w:ind w:left="-57" w:right="-57"/>
              <w:jc w:val="center"/>
              <w:rPr>
                <w:rFonts w:hint="default" w:ascii="Times New Roman" w:hAnsi="Times New Roman" w:eastAsia="仿宋_GB2312" w:cs="Times New Roman"/>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115" w:type="dxa"/>
            <w:vAlign w:val="center"/>
          </w:tcPr>
          <w:p>
            <w:pPr>
              <w:snapToGrid w:val="0"/>
              <w:ind w:left="-57" w:right="-57"/>
              <w:jc w:val="center"/>
              <w:rPr>
                <w:rFonts w:hint="default" w:ascii="Times New Roman" w:hAnsi="Times New Roman" w:eastAsia="仿宋_GB2312" w:cs="Times New Roman"/>
                <w:kern w:val="0"/>
                <w:sz w:val="24"/>
              </w:rPr>
            </w:pPr>
          </w:p>
          <w:p>
            <w:pPr>
              <w:snapToGrid w:val="0"/>
              <w:ind w:left="-57" w:right="-57"/>
              <w:jc w:val="center"/>
              <w:rPr>
                <w:rFonts w:hint="default" w:ascii="Times New Roman" w:hAnsi="Times New Roman" w:eastAsia="仿宋_GB2312" w:cs="Times New Roman"/>
                <w:kern w:val="0"/>
                <w:sz w:val="24"/>
              </w:rPr>
            </w:pPr>
          </w:p>
        </w:tc>
        <w:tc>
          <w:tcPr>
            <w:tcW w:w="910" w:type="dxa"/>
            <w:vAlign w:val="center"/>
          </w:tcPr>
          <w:p>
            <w:pPr>
              <w:snapToGrid w:val="0"/>
              <w:ind w:left="-57" w:right="-57"/>
              <w:jc w:val="center"/>
              <w:rPr>
                <w:rFonts w:hint="default" w:ascii="Times New Roman" w:hAnsi="Times New Roman" w:eastAsia="仿宋_GB2312" w:cs="Times New Roman"/>
                <w:kern w:val="0"/>
                <w:sz w:val="24"/>
              </w:rPr>
            </w:pPr>
          </w:p>
        </w:tc>
        <w:tc>
          <w:tcPr>
            <w:tcW w:w="2519" w:type="dxa"/>
            <w:vAlign w:val="center"/>
          </w:tcPr>
          <w:p>
            <w:pPr>
              <w:snapToGrid w:val="0"/>
              <w:ind w:left="-57" w:right="-57"/>
              <w:jc w:val="center"/>
              <w:rPr>
                <w:rFonts w:hint="default" w:ascii="Times New Roman" w:hAnsi="Times New Roman" w:eastAsia="仿宋_GB2312" w:cs="Times New Roman"/>
                <w:kern w:val="0"/>
                <w:sz w:val="24"/>
              </w:rPr>
            </w:pPr>
          </w:p>
        </w:tc>
        <w:tc>
          <w:tcPr>
            <w:tcW w:w="1804" w:type="dxa"/>
            <w:vAlign w:val="center"/>
          </w:tcPr>
          <w:p>
            <w:pPr>
              <w:snapToGrid w:val="0"/>
              <w:ind w:left="-57" w:right="-57"/>
              <w:jc w:val="center"/>
              <w:rPr>
                <w:rFonts w:hint="default" w:ascii="Times New Roman" w:hAnsi="Times New Roman" w:eastAsia="仿宋_GB2312" w:cs="Times New Roman"/>
                <w:kern w:val="0"/>
                <w:sz w:val="24"/>
              </w:rPr>
            </w:pPr>
          </w:p>
        </w:tc>
        <w:tc>
          <w:tcPr>
            <w:tcW w:w="1942" w:type="dxa"/>
          </w:tcPr>
          <w:p>
            <w:pPr>
              <w:snapToGrid w:val="0"/>
              <w:ind w:left="-57" w:right="-57"/>
              <w:jc w:val="center"/>
              <w:rPr>
                <w:rFonts w:hint="default" w:ascii="Times New Roman" w:hAnsi="Times New Roman" w:eastAsia="仿宋_GB2312" w:cs="Times New Roman"/>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1115" w:type="dxa"/>
            <w:vAlign w:val="center"/>
          </w:tcPr>
          <w:p>
            <w:pPr>
              <w:snapToGrid w:val="0"/>
              <w:ind w:left="-57" w:right="-57"/>
              <w:jc w:val="center"/>
              <w:rPr>
                <w:rFonts w:hint="default" w:ascii="Times New Roman" w:hAnsi="Times New Roman" w:eastAsia="仿宋_GB2312" w:cs="Times New Roman"/>
                <w:kern w:val="0"/>
                <w:sz w:val="24"/>
              </w:rPr>
            </w:pPr>
          </w:p>
          <w:p>
            <w:pPr>
              <w:snapToGrid w:val="0"/>
              <w:ind w:left="-57" w:right="-57"/>
              <w:jc w:val="center"/>
              <w:rPr>
                <w:rFonts w:hint="default" w:ascii="Times New Roman" w:hAnsi="Times New Roman" w:eastAsia="仿宋_GB2312" w:cs="Times New Roman"/>
                <w:kern w:val="0"/>
                <w:sz w:val="24"/>
              </w:rPr>
            </w:pPr>
          </w:p>
        </w:tc>
        <w:tc>
          <w:tcPr>
            <w:tcW w:w="910" w:type="dxa"/>
            <w:vAlign w:val="center"/>
          </w:tcPr>
          <w:p>
            <w:pPr>
              <w:snapToGrid w:val="0"/>
              <w:ind w:left="-57" w:right="-57"/>
              <w:jc w:val="center"/>
              <w:rPr>
                <w:rFonts w:hint="default" w:ascii="Times New Roman" w:hAnsi="Times New Roman" w:eastAsia="仿宋_GB2312" w:cs="Times New Roman"/>
                <w:kern w:val="0"/>
                <w:sz w:val="24"/>
              </w:rPr>
            </w:pPr>
          </w:p>
        </w:tc>
        <w:tc>
          <w:tcPr>
            <w:tcW w:w="2519" w:type="dxa"/>
            <w:vAlign w:val="center"/>
          </w:tcPr>
          <w:p>
            <w:pPr>
              <w:snapToGrid w:val="0"/>
              <w:ind w:left="-57" w:right="-57"/>
              <w:jc w:val="center"/>
              <w:rPr>
                <w:rFonts w:hint="default" w:ascii="Times New Roman" w:hAnsi="Times New Roman" w:eastAsia="仿宋_GB2312" w:cs="Times New Roman"/>
                <w:kern w:val="0"/>
                <w:sz w:val="24"/>
              </w:rPr>
            </w:pPr>
          </w:p>
        </w:tc>
        <w:tc>
          <w:tcPr>
            <w:tcW w:w="1804" w:type="dxa"/>
            <w:vAlign w:val="center"/>
          </w:tcPr>
          <w:p>
            <w:pPr>
              <w:snapToGrid w:val="0"/>
              <w:ind w:left="-57" w:right="-57"/>
              <w:jc w:val="center"/>
              <w:rPr>
                <w:rFonts w:hint="default" w:ascii="Times New Roman" w:hAnsi="Times New Roman" w:eastAsia="仿宋_GB2312" w:cs="Times New Roman"/>
                <w:kern w:val="0"/>
                <w:sz w:val="24"/>
              </w:rPr>
            </w:pPr>
          </w:p>
        </w:tc>
        <w:tc>
          <w:tcPr>
            <w:tcW w:w="1942" w:type="dxa"/>
          </w:tcPr>
          <w:p>
            <w:pPr>
              <w:snapToGrid w:val="0"/>
              <w:ind w:left="-57" w:right="-57"/>
              <w:jc w:val="center"/>
              <w:rPr>
                <w:rFonts w:hint="default" w:ascii="Times New Roman" w:hAnsi="Times New Roman" w:eastAsia="仿宋_GB2312" w:cs="Times New Roman"/>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115" w:type="dxa"/>
            <w:vAlign w:val="center"/>
          </w:tcPr>
          <w:p>
            <w:pPr>
              <w:snapToGrid w:val="0"/>
              <w:ind w:left="-57" w:right="-57"/>
              <w:jc w:val="center"/>
              <w:rPr>
                <w:rFonts w:hint="default" w:ascii="Times New Roman" w:hAnsi="Times New Roman" w:eastAsia="仿宋_GB2312" w:cs="Times New Roman"/>
                <w:kern w:val="0"/>
                <w:sz w:val="24"/>
              </w:rPr>
            </w:pPr>
          </w:p>
          <w:p>
            <w:pPr>
              <w:snapToGrid w:val="0"/>
              <w:ind w:left="-57" w:right="-57"/>
              <w:jc w:val="center"/>
              <w:rPr>
                <w:rFonts w:hint="default" w:ascii="Times New Roman" w:hAnsi="Times New Roman" w:eastAsia="仿宋_GB2312" w:cs="Times New Roman"/>
                <w:kern w:val="0"/>
                <w:sz w:val="24"/>
              </w:rPr>
            </w:pPr>
          </w:p>
        </w:tc>
        <w:tc>
          <w:tcPr>
            <w:tcW w:w="910" w:type="dxa"/>
            <w:vAlign w:val="center"/>
          </w:tcPr>
          <w:p>
            <w:pPr>
              <w:snapToGrid w:val="0"/>
              <w:ind w:left="-57" w:right="-57"/>
              <w:jc w:val="center"/>
              <w:rPr>
                <w:rFonts w:hint="default" w:ascii="Times New Roman" w:hAnsi="Times New Roman" w:eastAsia="仿宋_GB2312" w:cs="Times New Roman"/>
                <w:kern w:val="0"/>
                <w:sz w:val="24"/>
              </w:rPr>
            </w:pPr>
          </w:p>
        </w:tc>
        <w:tc>
          <w:tcPr>
            <w:tcW w:w="2519" w:type="dxa"/>
            <w:vAlign w:val="center"/>
          </w:tcPr>
          <w:p>
            <w:pPr>
              <w:snapToGrid w:val="0"/>
              <w:ind w:left="-57" w:right="-57"/>
              <w:jc w:val="center"/>
              <w:rPr>
                <w:rFonts w:hint="default" w:ascii="Times New Roman" w:hAnsi="Times New Roman" w:eastAsia="仿宋_GB2312" w:cs="Times New Roman"/>
                <w:kern w:val="0"/>
                <w:sz w:val="24"/>
              </w:rPr>
            </w:pPr>
          </w:p>
        </w:tc>
        <w:tc>
          <w:tcPr>
            <w:tcW w:w="1804" w:type="dxa"/>
            <w:vAlign w:val="center"/>
          </w:tcPr>
          <w:p>
            <w:pPr>
              <w:snapToGrid w:val="0"/>
              <w:ind w:left="-57" w:right="-57"/>
              <w:jc w:val="center"/>
              <w:rPr>
                <w:rFonts w:hint="default" w:ascii="Times New Roman" w:hAnsi="Times New Roman" w:eastAsia="仿宋_GB2312" w:cs="Times New Roman"/>
                <w:kern w:val="0"/>
                <w:sz w:val="24"/>
              </w:rPr>
            </w:pPr>
          </w:p>
        </w:tc>
        <w:tc>
          <w:tcPr>
            <w:tcW w:w="1942" w:type="dxa"/>
          </w:tcPr>
          <w:p>
            <w:pPr>
              <w:snapToGrid w:val="0"/>
              <w:ind w:left="-57" w:right="-57"/>
              <w:jc w:val="center"/>
              <w:rPr>
                <w:rFonts w:hint="default" w:ascii="Times New Roman" w:hAnsi="Times New Roman" w:eastAsia="仿宋_GB2312" w:cs="Times New Roman"/>
                <w:kern w:val="0"/>
                <w:sz w:val="24"/>
              </w:rPr>
            </w:pPr>
          </w:p>
        </w:tc>
      </w:tr>
    </w:tbl>
    <w:p>
      <w:pPr>
        <w:spacing w:line="600" w:lineRule="exact"/>
        <w:rPr>
          <w:rFonts w:hint="default" w:ascii="Times New Roman" w:hAnsi="Times New Roman" w:eastAsia="仿宋" w:cs="Times New Roman"/>
          <w:sz w:val="24"/>
        </w:rPr>
      </w:pPr>
    </w:p>
    <w:p>
      <w:pPr>
        <w:spacing w:line="360" w:lineRule="auto"/>
        <w:rPr>
          <w:rFonts w:hint="default" w:ascii="Times New Roman" w:hAnsi="Times New Roman" w:eastAsia="黑体" w:cs="Times New Roman"/>
          <w:sz w:val="32"/>
          <w:szCs w:val="32"/>
        </w:rPr>
      </w:pPr>
      <w:bookmarkStart w:id="12" w:name="_Toc455607508"/>
      <w:r>
        <w:rPr>
          <w:rFonts w:hint="default" w:ascii="Times New Roman" w:hAnsi="Times New Roman" w:eastAsia="黑体" w:cs="Times New Roman"/>
          <w:sz w:val="32"/>
          <w:szCs w:val="32"/>
        </w:rPr>
        <w:t>二、投入本项目的主要负责人资历表</w:t>
      </w:r>
      <w:bookmarkEnd w:id="12"/>
    </w:p>
    <w:tbl>
      <w:tblPr>
        <w:tblStyle w:val="11"/>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6"/>
        <w:gridCol w:w="1774"/>
        <w:gridCol w:w="976"/>
        <w:gridCol w:w="1654"/>
        <w:gridCol w:w="126"/>
        <w:gridCol w:w="1329"/>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1136" w:type="dxa"/>
            <w:vAlign w:val="center"/>
          </w:tcPr>
          <w:p>
            <w:pPr>
              <w:snapToGrid w:val="0"/>
              <w:ind w:left="-57" w:right="-57"/>
              <w:jc w:val="center"/>
              <w:rPr>
                <w:rFonts w:hint="default" w:ascii="Times New Roman" w:hAnsi="Times New Roman" w:eastAsia="仿宋_GB2312" w:cs="Times New Roman"/>
                <w:kern w:val="0"/>
                <w:sz w:val="24"/>
              </w:rPr>
            </w:pPr>
            <w:bookmarkStart w:id="18" w:name="_GoBack" w:colFirst="0" w:colLast="2"/>
            <w:r>
              <w:rPr>
                <w:rFonts w:hint="default" w:ascii="Times New Roman" w:hAnsi="Times New Roman" w:eastAsia="仿宋_GB2312" w:cs="Times New Roman"/>
                <w:kern w:val="0"/>
                <w:sz w:val="24"/>
              </w:rPr>
              <w:t>姓名</w:t>
            </w:r>
          </w:p>
        </w:tc>
        <w:tc>
          <w:tcPr>
            <w:tcW w:w="1774" w:type="dxa"/>
            <w:vAlign w:val="center"/>
          </w:tcPr>
          <w:p>
            <w:pPr>
              <w:snapToGrid w:val="0"/>
              <w:ind w:left="-57" w:right="-57"/>
              <w:jc w:val="center"/>
              <w:rPr>
                <w:rFonts w:hint="default" w:ascii="Times New Roman" w:hAnsi="Times New Roman" w:eastAsia="仿宋_GB2312" w:cs="Times New Roman"/>
                <w:kern w:val="0"/>
                <w:sz w:val="24"/>
              </w:rPr>
            </w:pPr>
          </w:p>
        </w:tc>
        <w:tc>
          <w:tcPr>
            <w:tcW w:w="976" w:type="dxa"/>
            <w:vAlign w:val="center"/>
          </w:tcPr>
          <w:p>
            <w:pPr>
              <w:snapToGrid w:val="0"/>
              <w:ind w:left="-57" w:right="-57"/>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职务</w:t>
            </w:r>
          </w:p>
        </w:tc>
        <w:tc>
          <w:tcPr>
            <w:tcW w:w="1654" w:type="dxa"/>
            <w:vAlign w:val="center"/>
          </w:tcPr>
          <w:p>
            <w:pPr>
              <w:snapToGrid w:val="0"/>
              <w:ind w:left="-57" w:right="-57"/>
              <w:jc w:val="center"/>
              <w:rPr>
                <w:rFonts w:hint="default" w:ascii="Times New Roman" w:hAnsi="Times New Roman" w:eastAsia="仿宋_GB2312" w:cs="Times New Roman"/>
                <w:kern w:val="0"/>
                <w:sz w:val="24"/>
              </w:rPr>
            </w:pPr>
          </w:p>
        </w:tc>
        <w:tc>
          <w:tcPr>
            <w:tcW w:w="1455" w:type="dxa"/>
            <w:gridSpan w:val="2"/>
            <w:vAlign w:val="center"/>
          </w:tcPr>
          <w:p>
            <w:pPr>
              <w:snapToGrid w:val="0"/>
              <w:ind w:left="-57" w:right="-57"/>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职称</w:t>
            </w:r>
          </w:p>
        </w:tc>
        <w:tc>
          <w:tcPr>
            <w:tcW w:w="1301" w:type="dxa"/>
            <w:vAlign w:val="center"/>
          </w:tcPr>
          <w:p>
            <w:pPr>
              <w:snapToGrid w:val="0"/>
              <w:ind w:left="-57" w:right="-57"/>
              <w:jc w:val="center"/>
              <w:rPr>
                <w:rFonts w:hint="default"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6" w:type="dxa"/>
            <w:vAlign w:val="center"/>
          </w:tcPr>
          <w:p>
            <w:pPr>
              <w:snapToGrid w:val="0"/>
              <w:ind w:left="-57" w:right="-57"/>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年龄</w:t>
            </w:r>
          </w:p>
        </w:tc>
        <w:tc>
          <w:tcPr>
            <w:tcW w:w="1774" w:type="dxa"/>
            <w:vAlign w:val="center"/>
          </w:tcPr>
          <w:p>
            <w:pPr>
              <w:snapToGrid w:val="0"/>
              <w:ind w:left="-57" w:right="-57"/>
              <w:jc w:val="center"/>
              <w:rPr>
                <w:rFonts w:hint="default" w:ascii="Times New Roman" w:hAnsi="Times New Roman" w:eastAsia="仿宋_GB2312" w:cs="Times New Roman"/>
                <w:kern w:val="0"/>
                <w:sz w:val="24"/>
              </w:rPr>
            </w:pPr>
          </w:p>
        </w:tc>
        <w:tc>
          <w:tcPr>
            <w:tcW w:w="976" w:type="dxa"/>
            <w:vAlign w:val="center"/>
          </w:tcPr>
          <w:p>
            <w:pPr>
              <w:snapToGrid w:val="0"/>
              <w:ind w:left="-57" w:right="-57"/>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拟任职</w:t>
            </w:r>
          </w:p>
        </w:tc>
        <w:tc>
          <w:tcPr>
            <w:tcW w:w="1654" w:type="dxa"/>
          </w:tcPr>
          <w:p>
            <w:pPr>
              <w:snapToGrid w:val="0"/>
              <w:ind w:left="-57" w:right="-57"/>
              <w:jc w:val="center"/>
              <w:rPr>
                <w:rFonts w:hint="default" w:ascii="Times New Roman" w:hAnsi="Times New Roman" w:eastAsia="仿宋_GB2312" w:cs="Times New Roman"/>
                <w:kern w:val="0"/>
                <w:sz w:val="24"/>
              </w:rPr>
            </w:pPr>
          </w:p>
        </w:tc>
        <w:tc>
          <w:tcPr>
            <w:tcW w:w="1455" w:type="dxa"/>
            <w:gridSpan w:val="2"/>
          </w:tcPr>
          <w:p>
            <w:pPr>
              <w:snapToGrid w:val="0"/>
              <w:ind w:left="-57" w:right="-57"/>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参加工作时间</w:t>
            </w:r>
          </w:p>
        </w:tc>
        <w:tc>
          <w:tcPr>
            <w:tcW w:w="1301" w:type="dxa"/>
          </w:tcPr>
          <w:p>
            <w:pPr>
              <w:snapToGrid w:val="0"/>
              <w:ind w:left="-57" w:right="-57"/>
              <w:jc w:val="center"/>
              <w:rPr>
                <w:rFonts w:hint="default" w:ascii="Times New Roman" w:hAnsi="Times New Roman" w:eastAsia="仿宋_GB2312" w:cs="Times New Roman"/>
                <w:kern w:val="0"/>
                <w:sz w:val="24"/>
              </w:rPr>
            </w:pPr>
          </w:p>
        </w:tc>
      </w:tr>
      <w:bookmarkEnd w:id="1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10" w:type="dxa"/>
            <w:gridSpan w:val="2"/>
          </w:tcPr>
          <w:p>
            <w:pPr>
              <w:snapToGrid w:val="0"/>
              <w:ind w:left="-57" w:right="-57"/>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学历（毕业学校、时间、专业）</w:t>
            </w:r>
          </w:p>
        </w:tc>
        <w:tc>
          <w:tcPr>
            <w:tcW w:w="5386" w:type="dxa"/>
            <w:gridSpan w:val="5"/>
          </w:tcPr>
          <w:p>
            <w:pPr>
              <w:snapToGrid w:val="0"/>
              <w:ind w:left="-57" w:right="-57"/>
              <w:jc w:val="center"/>
              <w:rPr>
                <w:rFonts w:hint="default"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tcPr>
          <w:p>
            <w:pPr>
              <w:snapToGrid w:val="0"/>
              <w:ind w:left="-57" w:right="-57"/>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开始年份</w:t>
            </w:r>
          </w:p>
        </w:tc>
        <w:tc>
          <w:tcPr>
            <w:tcW w:w="4530" w:type="dxa"/>
            <w:gridSpan w:val="4"/>
          </w:tcPr>
          <w:p>
            <w:pPr>
              <w:snapToGrid w:val="0"/>
              <w:ind w:left="-57" w:right="-57"/>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参加过的主要项目名称</w:t>
            </w:r>
          </w:p>
        </w:tc>
        <w:tc>
          <w:tcPr>
            <w:tcW w:w="2630" w:type="dxa"/>
            <w:gridSpan w:val="2"/>
          </w:tcPr>
          <w:p>
            <w:pPr>
              <w:snapToGrid w:val="0"/>
              <w:ind w:left="-57" w:right="-57"/>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担任该项目的工作内容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6" w:type="dxa"/>
            <w:vAlign w:val="center"/>
          </w:tcPr>
          <w:p>
            <w:pPr>
              <w:snapToGrid w:val="0"/>
              <w:ind w:left="-57" w:right="-57"/>
              <w:jc w:val="center"/>
              <w:rPr>
                <w:rFonts w:hint="default" w:ascii="Times New Roman" w:hAnsi="Times New Roman" w:eastAsia="仿宋_GB2312" w:cs="Times New Roman"/>
                <w:kern w:val="0"/>
                <w:sz w:val="24"/>
              </w:rPr>
            </w:pPr>
          </w:p>
        </w:tc>
        <w:tc>
          <w:tcPr>
            <w:tcW w:w="4530" w:type="dxa"/>
            <w:gridSpan w:val="4"/>
            <w:vAlign w:val="center"/>
          </w:tcPr>
          <w:p>
            <w:pPr>
              <w:snapToGrid w:val="0"/>
              <w:ind w:left="-57" w:right="-57"/>
              <w:jc w:val="center"/>
              <w:rPr>
                <w:rFonts w:hint="default" w:ascii="Times New Roman" w:hAnsi="Times New Roman" w:eastAsia="仿宋_GB2312" w:cs="Times New Roman"/>
                <w:kern w:val="0"/>
                <w:sz w:val="24"/>
              </w:rPr>
            </w:pPr>
          </w:p>
        </w:tc>
        <w:tc>
          <w:tcPr>
            <w:tcW w:w="2630" w:type="dxa"/>
            <w:gridSpan w:val="2"/>
            <w:vAlign w:val="center"/>
          </w:tcPr>
          <w:p>
            <w:pPr>
              <w:snapToGrid w:val="0"/>
              <w:ind w:left="-57" w:right="-57"/>
              <w:jc w:val="center"/>
              <w:rPr>
                <w:rFonts w:hint="default"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6" w:type="dxa"/>
            <w:vAlign w:val="center"/>
          </w:tcPr>
          <w:p>
            <w:pPr>
              <w:snapToGrid w:val="0"/>
              <w:ind w:left="-57" w:right="-57"/>
              <w:jc w:val="center"/>
              <w:rPr>
                <w:rFonts w:hint="default" w:ascii="Times New Roman" w:hAnsi="Times New Roman" w:eastAsia="仿宋_GB2312" w:cs="Times New Roman"/>
                <w:kern w:val="0"/>
                <w:sz w:val="24"/>
              </w:rPr>
            </w:pPr>
          </w:p>
        </w:tc>
        <w:tc>
          <w:tcPr>
            <w:tcW w:w="4530" w:type="dxa"/>
            <w:gridSpan w:val="4"/>
            <w:vAlign w:val="center"/>
          </w:tcPr>
          <w:p>
            <w:pPr>
              <w:snapToGrid w:val="0"/>
              <w:ind w:left="-57" w:right="-57"/>
              <w:jc w:val="center"/>
              <w:rPr>
                <w:rFonts w:hint="default" w:ascii="Times New Roman" w:hAnsi="Times New Roman" w:eastAsia="仿宋_GB2312" w:cs="Times New Roman"/>
                <w:kern w:val="0"/>
                <w:sz w:val="24"/>
              </w:rPr>
            </w:pPr>
          </w:p>
        </w:tc>
        <w:tc>
          <w:tcPr>
            <w:tcW w:w="2630" w:type="dxa"/>
            <w:gridSpan w:val="2"/>
            <w:vAlign w:val="center"/>
          </w:tcPr>
          <w:p>
            <w:pPr>
              <w:snapToGrid w:val="0"/>
              <w:ind w:left="-57" w:right="-57"/>
              <w:jc w:val="center"/>
              <w:rPr>
                <w:rFonts w:hint="default"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6" w:type="dxa"/>
            <w:vAlign w:val="center"/>
          </w:tcPr>
          <w:p>
            <w:pPr>
              <w:snapToGrid w:val="0"/>
              <w:ind w:left="-57" w:right="-57"/>
              <w:jc w:val="center"/>
              <w:rPr>
                <w:rFonts w:hint="default" w:ascii="Times New Roman" w:hAnsi="Times New Roman" w:eastAsia="仿宋_GB2312" w:cs="Times New Roman"/>
                <w:kern w:val="0"/>
                <w:sz w:val="24"/>
              </w:rPr>
            </w:pPr>
          </w:p>
        </w:tc>
        <w:tc>
          <w:tcPr>
            <w:tcW w:w="4530" w:type="dxa"/>
            <w:gridSpan w:val="4"/>
            <w:vAlign w:val="center"/>
          </w:tcPr>
          <w:p>
            <w:pPr>
              <w:snapToGrid w:val="0"/>
              <w:ind w:left="-57" w:right="-57"/>
              <w:jc w:val="center"/>
              <w:rPr>
                <w:rFonts w:hint="default" w:ascii="Times New Roman" w:hAnsi="Times New Roman" w:eastAsia="仿宋_GB2312" w:cs="Times New Roman"/>
                <w:kern w:val="0"/>
                <w:sz w:val="24"/>
              </w:rPr>
            </w:pPr>
          </w:p>
        </w:tc>
        <w:tc>
          <w:tcPr>
            <w:tcW w:w="2630" w:type="dxa"/>
            <w:gridSpan w:val="2"/>
            <w:vAlign w:val="center"/>
          </w:tcPr>
          <w:p>
            <w:pPr>
              <w:snapToGrid w:val="0"/>
              <w:ind w:left="-57" w:right="-57"/>
              <w:jc w:val="center"/>
              <w:rPr>
                <w:rFonts w:hint="default"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6" w:type="dxa"/>
            <w:vAlign w:val="center"/>
          </w:tcPr>
          <w:p>
            <w:pPr>
              <w:snapToGrid w:val="0"/>
              <w:ind w:left="-57" w:right="-57"/>
              <w:jc w:val="center"/>
              <w:rPr>
                <w:rFonts w:hint="default" w:ascii="Times New Roman" w:hAnsi="Times New Roman" w:eastAsia="仿宋_GB2312" w:cs="Times New Roman"/>
                <w:kern w:val="0"/>
                <w:sz w:val="24"/>
              </w:rPr>
            </w:pPr>
          </w:p>
        </w:tc>
        <w:tc>
          <w:tcPr>
            <w:tcW w:w="4530" w:type="dxa"/>
            <w:gridSpan w:val="4"/>
            <w:vAlign w:val="center"/>
          </w:tcPr>
          <w:p>
            <w:pPr>
              <w:snapToGrid w:val="0"/>
              <w:ind w:left="-57" w:right="-57"/>
              <w:jc w:val="center"/>
              <w:rPr>
                <w:rFonts w:hint="default" w:ascii="Times New Roman" w:hAnsi="Times New Roman" w:eastAsia="仿宋_GB2312" w:cs="Times New Roman"/>
                <w:kern w:val="0"/>
                <w:sz w:val="24"/>
              </w:rPr>
            </w:pPr>
          </w:p>
        </w:tc>
        <w:tc>
          <w:tcPr>
            <w:tcW w:w="2630" w:type="dxa"/>
            <w:gridSpan w:val="2"/>
            <w:vAlign w:val="center"/>
          </w:tcPr>
          <w:p>
            <w:pPr>
              <w:snapToGrid w:val="0"/>
              <w:ind w:left="-57" w:right="-57"/>
              <w:jc w:val="center"/>
              <w:rPr>
                <w:rFonts w:hint="default" w:ascii="Times New Roman" w:hAnsi="Times New Roman" w:eastAsia="仿宋_GB2312" w:cs="Times New Roman"/>
                <w:kern w:val="0"/>
                <w:sz w:val="24"/>
              </w:rPr>
            </w:pPr>
          </w:p>
        </w:tc>
      </w:tr>
    </w:tbl>
    <w:p>
      <w:pPr>
        <w:widowControl/>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注：在本表后应附其相关证件等。</w:t>
      </w:r>
    </w:p>
    <w:p>
      <w:pPr>
        <w:spacing w:line="360" w:lineRule="auto"/>
        <w:rPr>
          <w:rFonts w:hint="default" w:ascii="Times New Roman" w:hAnsi="Times New Roman" w:eastAsia="仿宋_GB2312" w:cs="Times New Roman"/>
          <w:sz w:val="32"/>
          <w:szCs w:val="32"/>
        </w:rPr>
      </w:pPr>
      <w:bookmarkStart w:id="13" w:name="_Toc455607509"/>
    </w:p>
    <w:p>
      <w:pPr>
        <w:spacing w:line="360" w:lineRule="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三、投入本项目的主要团队人员资历表</w:t>
      </w:r>
      <w:bookmarkEnd w:id="13"/>
    </w:p>
    <w:tbl>
      <w:tblPr>
        <w:tblStyle w:val="11"/>
        <w:tblW w:w="83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9"/>
        <w:gridCol w:w="1793"/>
        <w:gridCol w:w="985"/>
        <w:gridCol w:w="1672"/>
        <w:gridCol w:w="282"/>
        <w:gridCol w:w="1188"/>
        <w:gridCol w:w="1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149" w:type="dxa"/>
            <w:vAlign w:val="center"/>
          </w:tcPr>
          <w:p>
            <w:pPr>
              <w:snapToGrid w:val="0"/>
              <w:ind w:left="-57" w:right="-57"/>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姓名</w:t>
            </w:r>
          </w:p>
        </w:tc>
        <w:tc>
          <w:tcPr>
            <w:tcW w:w="1793" w:type="dxa"/>
            <w:vAlign w:val="center"/>
          </w:tcPr>
          <w:p>
            <w:pPr>
              <w:snapToGrid w:val="0"/>
              <w:ind w:left="-57" w:right="-57"/>
              <w:jc w:val="center"/>
              <w:rPr>
                <w:rFonts w:hint="default" w:ascii="Times New Roman" w:hAnsi="Times New Roman" w:eastAsia="仿宋_GB2312" w:cs="Times New Roman"/>
                <w:kern w:val="0"/>
                <w:sz w:val="24"/>
              </w:rPr>
            </w:pPr>
          </w:p>
        </w:tc>
        <w:tc>
          <w:tcPr>
            <w:tcW w:w="985" w:type="dxa"/>
            <w:vAlign w:val="center"/>
          </w:tcPr>
          <w:p>
            <w:pPr>
              <w:snapToGrid w:val="0"/>
              <w:ind w:left="-57" w:right="-57"/>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职务</w:t>
            </w:r>
          </w:p>
        </w:tc>
        <w:tc>
          <w:tcPr>
            <w:tcW w:w="1672" w:type="dxa"/>
            <w:vAlign w:val="center"/>
          </w:tcPr>
          <w:p>
            <w:pPr>
              <w:snapToGrid w:val="0"/>
              <w:ind w:left="-57" w:right="-57"/>
              <w:jc w:val="center"/>
              <w:rPr>
                <w:rFonts w:hint="default" w:ascii="Times New Roman" w:hAnsi="Times New Roman" w:eastAsia="仿宋_GB2312" w:cs="Times New Roman"/>
                <w:kern w:val="0"/>
                <w:sz w:val="24"/>
              </w:rPr>
            </w:pPr>
          </w:p>
        </w:tc>
        <w:tc>
          <w:tcPr>
            <w:tcW w:w="1470" w:type="dxa"/>
            <w:gridSpan w:val="2"/>
            <w:vAlign w:val="center"/>
          </w:tcPr>
          <w:p>
            <w:pPr>
              <w:snapToGrid w:val="0"/>
              <w:ind w:left="-57" w:right="-57"/>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职称</w:t>
            </w:r>
          </w:p>
        </w:tc>
        <w:tc>
          <w:tcPr>
            <w:tcW w:w="1317" w:type="dxa"/>
            <w:vAlign w:val="center"/>
          </w:tcPr>
          <w:p>
            <w:pPr>
              <w:snapToGrid w:val="0"/>
              <w:ind w:left="-57" w:right="-57"/>
              <w:jc w:val="center"/>
              <w:rPr>
                <w:rFonts w:hint="default"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149" w:type="dxa"/>
            <w:vAlign w:val="center"/>
          </w:tcPr>
          <w:p>
            <w:pPr>
              <w:snapToGrid w:val="0"/>
              <w:ind w:left="-57" w:right="-57"/>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年龄</w:t>
            </w:r>
          </w:p>
        </w:tc>
        <w:tc>
          <w:tcPr>
            <w:tcW w:w="1793" w:type="dxa"/>
            <w:vAlign w:val="center"/>
          </w:tcPr>
          <w:p>
            <w:pPr>
              <w:snapToGrid w:val="0"/>
              <w:ind w:left="-57" w:right="-57"/>
              <w:jc w:val="center"/>
              <w:rPr>
                <w:rFonts w:hint="default" w:ascii="Times New Roman" w:hAnsi="Times New Roman" w:eastAsia="仿宋_GB2312" w:cs="Times New Roman"/>
                <w:kern w:val="0"/>
                <w:sz w:val="24"/>
              </w:rPr>
            </w:pPr>
          </w:p>
        </w:tc>
        <w:tc>
          <w:tcPr>
            <w:tcW w:w="985" w:type="dxa"/>
            <w:vAlign w:val="center"/>
          </w:tcPr>
          <w:p>
            <w:pPr>
              <w:snapToGrid w:val="0"/>
              <w:ind w:left="-57" w:right="-57"/>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拟任职</w:t>
            </w:r>
          </w:p>
        </w:tc>
        <w:tc>
          <w:tcPr>
            <w:tcW w:w="1672" w:type="dxa"/>
            <w:vAlign w:val="center"/>
          </w:tcPr>
          <w:p>
            <w:pPr>
              <w:snapToGrid w:val="0"/>
              <w:ind w:left="-57" w:right="-57"/>
              <w:jc w:val="center"/>
              <w:rPr>
                <w:rFonts w:hint="default" w:ascii="Times New Roman" w:hAnsi="Times New Roman" w:eastAsia="仿宋_GB2312" w:cs="Times New Roman"/>
                <w:kern w:val="0"/>
                <w:sz w:val="24"/>
              </w:rPr>
            </w:pPr>
          </w:p>
        </w:tc>
        <w:tc>
          <w:tcPr>
            <w:tcW w:w="1470" w:type="dxa"/>
            <w:gridSpan w:val="2"/>
            <w:vAlign w:val="center"/>
          </w:tcPr>
          <w:p>
            <w:pPr>
              <w:snapToGrid w:val="0"/>
              <w:ind w:left="-57" w:right="-57"/>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参加工作时间</w:t>
            </w:r>
          </w:p>
        </w:tc>
        <w:tc>
          <w:tcPr>
            <w:tcW w:w="1317" w:type="dxa"/>
            <w:vAlign w:val="center"/>
          </w:tcPr>
          <w:p>
            <w:pPr>
              <w:snapToGrid w:val="0"/>
              <w:ind w:left="-57" w:right="-57"/>
              <w:jc w:val="center"/>
              <w:rPr>
                <w:rFonts w:hint="default"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trPr>
        <w:tc>
          <w:tcPr>
            <w:tcW w:w="2942" w:type="dxa"/>
            <w:gridSpan w:val="2"/>
          </w:tcPr>
          <w:p>
            <w:pPr>
              <w:snapToGrid w:val="0"/>
              <w:ind w:left="-57" w:right="-57"/>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学历（毕业学校、时间、专业）</w:t>
            </w:r>
          </w:p>
        </w:tc>
        <w:tc>
          <w:tcPr>
            <w:tcW w:w="5444" w:type="dxa"/>
            <w:gridSpan w:val="5"/>
          </w:tcPr>
          <w:p>
            <w:pPr>
              <w:snapToGrid w:val="0"/>
              <w:ind w:left="-57" w:right="-57"/>
              <w:jc w:val="center"/>
              <w:rPr>
                <w:rFonts w:hint="default"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149" w:type="dxa"/>
          </w:tcPr>
          <w:p>
            <w:pPr>
              <w:snapToGrid w:val="0"/>
              <w:ind w:left="-57" w:right="-57"/>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开始年份</w:t>
            </w:r>
          </w:p>
        </w:tc>
        <w:tc>
          <w:tcPr>
            <w:tcW w:w="4732" w:type="dxa"/>
            <w:gridSpan w:val="4"/>
          </w:tcPr>
          <w:p>
            <w:pPr>
              <w:snapToGrid w:val="0"/>
              <w:ind w:left="-57" w:right="-57"/>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参加过的主要项目名称</w:t>
            </w:r>
          </w:p>
        </w:tc>
        <w:tc>
          <w:tcPr>
            <w:tcW w:w="2505" w:type="dxa"/>
            <w:gridSpan w:val="2"/>
          </w:tcPr>
          <w:p>
            <w:pPr>
              <w:snapToGrid w:val="0"/>
              <w:ind w:left="-57" w:right="-57"/>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担任该项目的工作内容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149" w:type="dxa"/>
            <w:vAlign w:val="center"/>
          </w:tcPr>
          <w:p>
            <w:pPr>
              <w:snapToGrid w:val="0"/>
              <w:ind w:left="-57" w:right="-57"/>
              <w:jc w:val="center"/>
              <w:rPr>
                <w:rFonts w:hint="default" w:ascii="Times New Roman" w:hAnsi="Times New Roman" w:eastAsia="仿宋_GB2312" w:cs="Times New Roman"/>
                <w:kern w:val="0"/>
                <w:sz w:val="24"/>
              </w:rPr>
            </w:pPr>
          </w:p>
        </w:tc>
        <w:tc>
          <w:tcPr>
            <w:tcW w:w="4732" w:type="dxa"/>
            <w:gridSpan w:val="4"/>
            <w:vAlign w:val="center"/>
          </w:tcPr>
          <w:p>
            <w:pPr>
              <w:snapToGrid w:val="0"/>
              <w:ind w:left="-57" w:right="-57"/>
              <w:jc w:val="center"/>
              <w:rPr>
                <w:rFonts w:hint="default" w:ascii="Times New Roman" w:hAnsi="Times New Roman" w:eastAsia="仿宋_GB2312" w:cs="Times New Roman"/>
                <w:kern w:val="0"/>
                <w:sz w:val="24"/>
              </w:rPr>
            </w:pPr>
          </w:p>
        </w:tc>
        <w:tc>
          <w:tcPr>
            <w:tcW w:w="2505" w:type="dxa"/>
            <w:gridSpan w:val="2"/>
            <w:vAlign w:val="center"/>
          </w:tcPr>
          <w:p>
            <w:pPr>
              <w:snapToGrid w:val="0"/>
              <w:ind w:left="-57" w:right="-57"/>
              <w:jc w:val="center"/>
              <w:rPr>
                <w:rFonts w:hint="default"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149" w:type="dxa"/>
            <w:vAlign w:val="center"/>
          </w:tcPr>
          <w:p>
            <w:pPr>
              <w:snapToGrid w:val="0"/>
              <w:ind w:left="-57" w:right="-57"/>
              <w:jc w:val="center"/>
              <w:rPr>
                <w:rFonts w:hint="default" w:ascii="Times New Roman" w:hAnsi="Times New Roman" w:eastAsia="仿宋_GB2312" w:cs="Times New Roman"/>
                <w:kern w:val="0"/>
                <w:sz w:val="24"/>
              </w:rPr>
            </w:pPr>
          </w:p>
        </w:tc>
        <w:tc>
          <w:tcPr>
            <w:tcW w:w="4732" w:type="dxa"/>
            <w:gridSpan w:val="4"/>
            <w:vAlign w:val="center"/>
          </w:tcPr>
          <w:p>
            <w:pPr>
              <w:snapToGrid w:val="0"/>
              <w:ind w:left="-57" w:right="-57"/>
              <w:jc w:val="center"/>
              <w:rPr>
                <w:rFonts w:hint="default" w:ascii="Times New Roman" w:hAnsi="Times New Roman" w:eastAsia="仿宋_GB2312" w:cs="Times New Roman"/>
                <w:kern w:val="0"/>
                <w:sz w:val="24"/>
              </w:rPr>
            </w:pPr>
          </w:p>
        </w:tc>
        <w:tc>
          <w:tcPr>
            <w:tcW w:w="2505" w:type="dxa"/>
            <w:gridSpan w:val="2"/>
            <w:vAlign w:val="center"/>
          </w:tcPr>
          <w:p>
            <w:pPr>
              <w:snapToGrid w:val="0"/>
              <w:ind w:left="-57" w:right="-57"/>
              <w:jc w:val="center"/>
              <w:rPr>
                <w:rFonts w:hint="default"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149" w:type="dxa"/>
            <w:vAlign w:val="center"/>
          </w:tcPr>
          <w:p>
            <w:pPr>
              <w:snapToGrid w:val="0"/>
              <w:ind w:left="-57" w:right="-57"/>
              <w:jc w:val="center"/>
              <w:rPr>
                <w:rFonts w:hint="default" w:ascii="Times New Roman" w:hAnsi="Times New Roman" w:eastAsia="仿宋_GB2312" w:cs="Times New Roman"/>
                <w:kern w:val="0"/>
                <w:sz w:val="24"/>
              </w:rPr>
            </w:pPr>
          </w:p>
        </w:tc>
        <w:tc>
          <w:tcPr>
            <w:tcW w:w="4732" w:type="dxa"/>
            <w:gridSpan w:val="4"/>
            <w:vAlign w:val="center"/>
          </w:tcPr>
          <w:p>
            <w:pPr>
              <w:snapToGrid w:val="0"/>
              <w:ind w:left="-57" w:right="-57"/>
              <w:jc w:val="center"/>
              <w:rPr>
                <w:rFonts w:hint="default" w:ascii="Times New Roman" w:hAnsi="Times New Roman" w:eastAsia="仿宋_GB2312" w:cs="Times New Roman"/>
                <w:kern w:val="0"/>
                <w:sz w:val="24"/>
              </w:rPr>
            </w:pPr>
          </w:p>
        </w:tc>
        <w:tc>
          <w:tcPr>
            <w:tcW w:w="2505" w:type="dxa"/>
            <w:gridSpan w:val="2"/>
            <w:vAlign w:val="center"/>
          </w:tcPr>
          <w:p>
            <w:pPr>
              <w:snapToGrid w:val="0"/>
              <w:ind w:left="-57" w:right="-57"/>
              <w:jc w:val="center"/>
              <w:rPr>
                <w:rFonts w:hint="default"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149" w:type="dxa"/>
            <w:vAlign w:val="center"/>
          </w:tcPr>
          <w:p>
            <w:pPr>
              <w:snapToGrid w:val="0"/>
              <w:ind w:left="-57" w:right="-57"/>
              <w:jc w:val="center"/>
              <w:rPr>
                <w:rFonts w:hint="default" w:ascii="Times New Roman" w:hAnsi="Times New Roman" w:eastAsia="仿宋_GB2312" w:cs="Times New Roman"/>
                <w:kern w:val="0"/>
                <w:sz w:val="24"/>
              </w:rPr>
            </w:pPr>
          </w:p>
        </w:tc>
        <w:tc>
          <w:tcPr>
            <w:tcW w:w="4732" w:type="dxa"/>
            <w:gridSpan w:val="4"/>
            <w:vAlign w:val="center"/>
          </w:tcPr>
          <w:p>
            <w:pPr>
              <w:snapToGrid w:val="0"/>
              <w:ind w:left="-57" w:right="-57"/>
              <w:jc w:val="center"/>
              <w:rPr>
                <w:rFonts w:hint="default" w:ascii="Times New Roman" w:hAnsi="Times New Roman" w:eastAsia="仿宋_GB2312" w:cs="Times New Roman"/>
                <w:kern w:val="0"/>
                <w:sz w:val="24"/>
              </w:rPr>
            </w:pPr>
          </w:p>
        </w:tc>
        <w:tc>
          <w:tcPr>
            <w:tcW w:w="2505" w:type="dxa"/>
            <w:gridSpan w:val="2"/>
            <w:vAlign w:val="center"/>
          </w:tcPr>
          <w:p>
            <w:pPr>
              <w:snapToGrid w:val="0"/>
              <w:ind w:left="-57" w:right="-57"/>
              <w:jc w:val="center"/>
              <w:rPr>
                <w:rFonts w:hint="default" w:ascii="Times New Roman" w:hAnsi="Times New Roman" w:eastAsia="仿宋_GB2312" w:cs="Times New Roman"/>
                <w:kern w:val="0"/>
                <w:sz w:val="24"/>
              </w:rPr>
            </w:pPr>
          </w:p>
        </w:tc>
      </w:tr>
    </w:tbl>
    <w:p>
      <w:pPr>
        <w:widowControl/>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注：在本表后应附其相关证件等。</w:t>
      </w:r>
    </w:p>
    <w:p>
      <w:pPr>
        <w:widowControl/>
        <w:jc w:val="left"/>
        <w:rPr>
          <w:rFonts w:hint="default" w:ascii="Times New Roman" w:hAnsi="Times New Roman" w:eastAsia="仿宋_GB2312" w:cs="Times New Roman"/>
          <w:sz w:val="24"/>
        </w:rPr>
      </w:pPr>
    </w:p>
    <w:p>
      <w:pPr>
        <w:spacing w:line="360"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参选机构（法人公章）</w:t>
      </w:r>
    </w:p>
    <w:p>
      <w:pPr>
        <w:spacing w:line="360"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法定代表人(签字或盖章)：</w:t>
      </w:r>
    </w:p>
    <w:p>
      <w:pPr>
        <w:spacing w:line="360"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授权代表(签字或盖章)：</w:t>
      </w:r>
    </w:p>
    <w:p>
      <w:pPr>
        <w:spacing w:line="600" w:lineRule="exact"/>
        <w:rPr>
          <w:rFonts w:hint="default" w:ascii="Times New Roman" w:hAnsi="Times New Roman" w:eastAsia="仿宋" w:cs="Times New Roman"/>
          <w:sz w:val="24"/>
        </w:rPr>
      </w:pPr>
      <w:r>
        <w:rPr>
          <w:rFonts w:hint="default" w:ascii="Times New Roman" w:hAnsi="Times New Roman" w:eastAsia="仿宋_GB2312" w:cs="Times New Roman"/>
          <w:sz w:val="32"/>
          <w:szCs w:val="32"/>
        </w:rPr>
        <w:t>日    期：</w:t>
      </w:r>
      <w:r>
        <w:rPr>
          <w:rFonts w:hint="default" w:ascii="Times New Roman" w:hAnsi="Times New Roman" w:eastAsia="黑体" w:cs="Times New Roman"/>
          <w:sz w:val="32"/>
          <w:szCs w:val="32"/>
        </w:rPr>
        <w:br w:type="page"/>
      </w:r>
    </w:p>
    <w:p>
      <w:pPr>
        <w:pStyle w:val="3"/>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附件四：比选报价表格式：</w:t>
      </w:r>
    </w:p>
    <w:p>
      <w:pPr>
        <w:jc w:val="center"/>
        <w:rPr>
          <w:rFonts w:hint="default" w:ascii="Times New Roman" w:hAnsi="Times New Roman" w:eastAsia="方正小标宋_GBK" w:cs="Times New Roman"/>
          <w:b/>
          <w:sz w:val="44"/>
          <w:szCs w:val="44"/>
          <w:lang w:eastAsia="zh-CN"/>
        </w:rPr>
      </w:pPr>
      <w:r>
        <w:rPr>
          <w:rFonts w:hint="default" w:ascii="Times New Roman" w:hAnsi="Times New Roman" w:eastAsia="方正小标宋_GBK" w:cs="Times New Roman"/>
          <w:b/>
          <w:sz w:val="44"/>
          <w:szCs w:val="44"/>
        </w:rPr>
        <w:t>比选报价表</w:t>
      </w:r>
    </w:p>
    <w:p>
      <w:pPr>
        <w:spacing w:before="312" w:beforeLines="100" w:line="360" w:lineRule="exact"/>
        <w:rPr>
          <w:rFonts w:hint="default" w:ascii="Times New Roman" w:hAnsi="Times New Roman" w:eastAsia="方正仿宋_GBK" w:cs="Times New Roman"/>
          <w:sz w:val="30"/>
          <w:szCs w:val="30"/>
        </w:rPr>
      </w:pPr>
    </w:p>
    <w:tbl>
      <w:tblPr>
        <w:tblStyle w:val="11"/>
        <w:tblW w:w="86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
        <w:gridCol w:w="1635"/>
        <w:gridCol w:w="1575"/>
        <w:gridCol w:w="1650"/>
        <w:gridCol w:w="1575"/>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918" w:type="dxa"/>
          </w:tcPr>
          <w:p>
            <w:pPr>
              <w:spacing w:before="312" w:beforeLines="100" w:line="3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序号</w:t>
            </w:r>
          </w:p>
        </w:tc>
        <w:tc>
          <w:tcPr>
            <w:tcW w:w="1635" w:type="dxa"/>
          </w:tcPr>
          <w:p>
            <w:pPr>
              <w:spacing w:before="312" w:beforeLines="100" w:line="36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项目名称</w:t>
            </w:r>
          </w:p>
        </w:tc>
        <w:tc>
          <w:tcPr>
            <w:tcW w:w="1575" w:type="dxa"/>
          </w:tcPr>
          <w:p>
            <w:pPr>
              <w:spacing w:before="312" w:beforeLines="100" w:line="360" w:lineRule="exact"/>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数量</w:t>
            </w:r>
          </w:p>
        </w:tc>
        <w:tc>
          <w:tcPr>
            <w:tcW w:w="1650" w:type="dxa"/>
          </w:tcPr>
          <w:p>
            <w:pPr>
              <w:spacing w:before="312" w:beforeLines="100" w:line="360" w:lineRule="exact"/>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单价</w:t>
            </w:r>
          </w:p>
        </w:tc>
        <w:tc>
          <w:tcPr>
            <w:tcW w:w="1575" w:type="dxa"/>
          </w:tcPr>
          <w:p>
            <w:pPr>
              <w:spacing w:before="312" w:beforeLines="100" w:line="360" w:lineRule="exact"/>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总价</w:t>
            </w:r>
          </w:p>
        </w:tc>
        <w:tc>
          <w:tcPr>
            <w:tcW w:w="1335" w:type="dxa"/>
          </w:tcPr>
          <w:p>
            <w:pPr>
              <w:spacing w:before="312" w:beforeLines="100" w:line="360" w:lineRule="exact"/>
              <w:jc w:val="center"/>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918" w:type="dxa"/>
            <w:vAlign w:val="center"/>
          </w:tcPr>
          <w:p>
            <w:pPr>
              <w:spacing w:before="312" w:beforeLines="100" w:line="360" w:lineRule="exact"/>
              <w:jc w:val="center"/>
              <w:rPr>
                <w:rFonts w:hint="default" w:ascii="Times New Roman" w:hAnsi="Times New Roman" w:eastAsia="仿宋_GB2312" w:cs="Times New Roman"/>
                <w:sz w:val="32"/>
                <w:szCs w:val="32"/>
              </w:rPr>
            </w:pPr>
          </w:p>
        </w:tc>
        <w:tc>
          <w:tcPr>
            <w:tcW w:w="1635" w:type="dxa"/>
            <w:vAlign w:val="center"/>
          </w:tcPr>
          <w:p>
            <w:pPr>
              <w:spacing w:before="312" w:beforeLines="100" w:line="360" w:lineRule="exact"/>
              <w:jc w:val="center"/>
              <w:rPr>
                <w:rFonts w:hint="default" w:ascii="Times New Roman" w:hAnsi="Times New Roman" w:eastAsia="仿宋_GB2312" w:cs="Times New Roman"/>
                <w:sz w:val="32"/>
                <w:szCs w:val="32"/>
              </w:rPr>
            </w:pPr>
          </w:p>
        </w:tc>
        <w:tc>
          <w:tcPr>
            <w:tcW w:w="1575" w:type="dxa"/>
            <w:vAlign w:val="center"/>
          </w:tcPr>
          <w:p>
            <w:pPr>
              <w:spacing w:before="312" w:beforeLines="100" w:line="360" w:lineRule="exact"/>
              <w:jc w:val="center"/>
              <w:rPr>
                <w:rFonts w:hint="default" w:ascii="Times New Roman" w:hAnsi="Times New Roman" w:eastAsia="仿宋_GB2312" w:cs="Times New Roman"/>
                <w:sz w:val="32"/>
                <w:szCs w:val="32"/>
              </w:rPr>
            </w:pPr>
          </w:p>
        </w:tc>
        <w:tc>
          <w:tcPr>
            <w:tcW w:w="1650" w:type="dxa"/>
            <w:vAlign w:val="center"/>
          </w:tcPr>
          <w:p>
            <w:pPr>
              <w:spacing w:before="312" w:beforeLines="100" w:line="360" w:lineRule="exact"/>
              <w:jc w:val="center"/>
              <w:rPr>
                <w:rFonts w:hint="default" w:ascii="Times New Roman" w:hAnsi="Times New Roman" w:eastAsia="仿宋_GB2312" w:cs="Times New Roman"/>
                <w:sz w:val="32"/>
                <w:szCs w:val="32"/>
              </w:rPr>
            </w:pPr>
          </w:p>
        </w:tc>
        <w:tc>
          <w:tcPr>
            <w:tcW w:w="1575" w:type="dxa"/>
            <w:vAlign w:val="center"/>
          </w:tcPr>
          <w:p>
            <w:pPr>
              <w:spacing w:before="312" w:beforeLines="100" w:line="360" w:lineRule="exact"/>
              <w:jc w:val="center"/>
              <w:rPr>
                <w:rFonts w:hint="default" w:ascii="Times New Roman" w:hAnsi="Times New Roman" w:eastAsia="仿宋_GB2312" w:cs="Times New Roman"/>
                <w:sz w:val="32"/>
                <w:szCs w:val="32"/>
              </w:rPr>
            </w:pPr>
          </w:p>
        </w:tc>
        <w:tc>
          <w:tcPr>
            <w:tcW w:w="1335" w:type="dxa"/>
            <w:vAlign w:val="center"/>
          </w:tcPr>
          <w:p>
            <w:pPr>
              <w:spacing w:before="312" w:beforeLines="100" w:line="360" w:lineRule="exact"/>
              <w:jc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918" w:type="dxa"/>
            <w:vAlign w:val="center"/>
          </w:tcPr>
          <w:p>
            <w:pPr>
              <w:spacing w:before="312" w:beforeLines="100" w:line="360" w:lineRule="exact"/>
              <w:jc w:val="center"/>
              <w:rPr>
                <w:rFonts w:hint="default" w:ascii="Times New Roman" w:hAnsi="Times New Roman" w:eastAsia="仿宋_GB2312" w:cs="Times New Roman"/>
                <w:sz w:val="32"/>
                <w:szCs w:val="32"/>
              </w:rPr>
            </w:pPr>
          </w:p>
        </w:tc>
        <w:tc>
          <w:tcPr>
            <w:tcW w:w="1635" w:type="dxa"/>
            <w:vAlign w:val="center"/>
          </w:tcPr>
          <w:p>
            <w:pPr>
              <w:spacing w:before="312" w:beforeLines="100" w:line="360" w:lineRule="exact"/>
              <w:jc w:val="center"/>
              <w:rPr>
                <w:rFonts w:hint="default" w:ascii="Times New Roman" w:hAnsi="Times New Roman" w:eastAsia="仿宋_GB2312" w:cs="Times New Roman"/>
                <w:sz w:val="32"/>
                <w:szCs w:val="32"/>
                <w:lang w:val="en-US" w:eastAsia="zh-CN"/>
              </w:rPr>
            </w:pPr>
          </w:p>
        </w:tc>
        <w:tc>
          <w:tcPr>
            <w:tcW w:w="1575" w:type="dxa"/>
            <w:vAlign w:val="center"/>
          </w:tcPr>
          <w:p>
            <w:pPr>
              <w:spacing w:before="312" w:beforeLines="100" w:line="360" w:lineRule="exact"/>
              <w:jc w:val="center"/>
              <w:rPr>
                <w:rFonts w:hint="default" w:ascii="Times New Roman" w:hAnsi="Times New Roman" w:eastAsia="仿宋_GB2312" w:cs="Times New Roman"/>
                <w:sz w:val="32"/>
                <w:szCs w:val="32"/>
              </w:rPr>
            </w:pPr>
          </w:p>
        </w:tc>
        <w:tc>
          <w:tcPr>
            <w:tcW w:w="1650" w:type="dxa"/>
            <w:vAlign w:val="center"/>
          </w:tcPr>
          <w:p>
            <w:pPr>
              <w:spacing w:before="312" w:beforeLines="100" w:line="360" w:lineRule="exact"/>
              <w:jc w:val="center"/>
              <w:rPr>
                <w:rFonts w:hint="default" w:ascii="Times New Roman" w:hAnsi="Times New Roman" w:eastAsia="仿宋_GB2312" w:cs="Times New Roman"/>
                <w:sz w:val="32"/>
                <w:szCs w:val="32"/>
              </w:rPr>
            </w:pPr>
          </w:p>
        </w:tc>
        <w:tc>
          <w:tcPr>
            <w:tcW w:w="1575" w:type="dxa"/>
            <w:vAlign w:val="center"/>
          </w:tcPr>
          <w:p>
            <w:pPr>
              <w:spacing w:before="312" w:beforeLines="100" w:line="360" w:lineRule="exact"/>
              <w:jc w:val="center"/>
              <w:rPr>
                <w:rFonts w:hint="default" w:ascii="Times New Roman" w:hAnsi="Times New Roman" w:eastAsia="仿宋_GB2312" w:cs="Times New Roman"/>
                <w:sz w:val="32"/>
                <w:szCs w:val="32"/>
              </w:rPr>
            </w:pPr>
          </w:p>
        </w:tc>
        <w:tc>
          <w:tcPr>
            <w:tcW w:w="1335" w:type="dxa"/>
            <w:vAlign w:val="center"/>
          </w:tcPr>
          <w:p>
            <w:pPr>
              <w:spacing w:before="312" w:beforeLines="100" w:line="360" w:lineRule="exact"/>
              <w:jc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918" w:type="dxa"/>
            <w:vAlign w:val="center"/>
          </w:tcPr>
          <w:p>
            <w:pPr>
              <w:spacing w:before="312" w:beforeLines="100" w:line="360" w:lineRule="exact"/>
              <w:jc w:val="center"/>
              <w:rPr>
                <w:rFonts w:hint="default" w:ascii="Times New Roman" w:hAnsi="Times New Roman" w:eastAsia="仿宋_GB2312" w:cs="Times New Roman"/>
                <w:sz w:val="32"/>
                <w:szCs w:val="32"/>
              </w:rPr>
            </w:pPr>
          </w:p>
        </w:tc>
        <w:tc>
          <w:tcPr>
            <w:tcW w:w="1635" w:type="dxa"/>
            <w:vAlign w:val="center"/>
          </w:tcPr>
          <w:p>
            <w:pPr>
              <w:spacing w:before="312" w:beforeLines="100" w:line="360" w:lineRule="exact"/>
              <w:jc w:val="center"/>
              <w:rPr>
                <w:rFonts w:hint="default" w:ascii="Times New Roman" w:hAnsi="Times New Roman" w:eastAsia="仿宋_GB2312" w:cs="Times New Roman"/>
                <w:sz w:val="32"/>
                <w:szCs w:val="32"/>
                <w:lang w:val="en-US" w:eastAsia="zh-CN"/>
              </w:rPr>
            </w:pPr>
          </w:p>
        </w:tc>
        <w:tc>
          <w:tcPr>
            <w:tcW w:w="1575" w:type="dxa"/>
            <w:vAlign w:val="center"/>
          </w:tcPr>
          <w:p>
            <w:pPr>
              <w:spacing w:before="312" w:beforeLines="100" w:line="360" w:lineRule="exact"/>
              <w:jc w:val="center"/>
              <w:rPr>
                <w:rFonts w:hint="default" w:ascii="Times New Roman" w:hAnsi="Times New Roman" w:eastAsia="仿宋_GB2312" w:cs="Times New Roman"/>
                <w:sz w:val="32"/>
                <w:szCs w:val="32"/>
              </w:rPr>
            </w:pPr>
          </w:p>
        </w:tc>
        <w:tc>
          <w:tcPr>
            <w:tcW w:w="1650" w:type="dxa"/>
            <w:vAlign w:val="center"/>
          </w:tcPr>
          <w:p>
            <w:pPr>
              <w:spacing w:before="312" w:beforeLines="100" w:line="360" w:lineRule="exact"/>
              <w:jc w:val="center"/>
              <w:rPr>
                <w:rFonts w:hint="default" w:ascii="Times New Roman" w:hAnsi="Times New Roman" w:eastAsia="仿宋_GB2312" w:cs="Times New Roman"/>
                <w:sz w:val="32"/>
                <w:szCs w:val="32"/>
              </w:rPr>
            </w:pPr>
          </w:p>
        </w:tc>
        <w:tc>
          <w:tcPr>
            <w:tcW w:w="1575" w:type="dxa"/>
            <w:vAlign w:val="center"/>
          </w:tcPr>
          <w:p>
            <w:pPr>
              <w:spacing w:before="312" w:beforeLines="100" w:line="360" w:lineRule="exact"/>
              <w:jc w:val="center"/>
              <w:rPr>
                <w:rFonts w:hint="default" w:ascii="Times New Roman" w:hAnsi="Times New Roman" w:eastAsia="仿宋_GB2312" w:cs="Times New Roman"/>
                <w:sz w:val="32"/>
                <w:szCs w:val="32"/>
              </w:rPr>
            </w:pPr>
          </w:p>
        </w:tc>
        <w:tc>
          <w:tcPr>
            <w:tcW w:w="1335" w:type="dxa"/>
            <w:vAlign w:val="center"/>
          </w:tcPr>
          <w:p>
            <w:pPr>
              <w:spacing w:before="312" w:beforeLines="100" w:line="360" w:lineRule="exact"/>
              <w:jc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918" w:type="dxa"/>
            <w:vAlign w:val="center"/>
          </w:tcPr>
          <w:p>
            <w:pPr>
              <w:spacing w:before="312" w:beforeLines="100" w:line="360" w:lineRule="exact"/>
              <w:jc w:val="center"/>
              <w:rPr>
                <w:rFonts w:hint="default" w:ascii="Times New Roman" w:hAnsi="Times New Roman" w:eastAsia="仿宋_GB2312" w:cs="Times New Roman"/>
                <w:sz w:val="32"/>
                <w:szCs w:val="32"/>
              </w:rPr>
            </w:pPr>
          </w:p>
        </w:tc>
        <w:tc>
          <w:tcPr>
            <w:tcW w:w="1635" w:type="dxa"/>
            <w:vAlign w:val="center"/>
          </w:tcPr>
          <w:p>
            <w:pPr>
              <w:spacing w:before="312" w:beforeLines="100" w:line="360" w:lineRule="exact"/>
              <w:jc w:val="center"/>
              <w:rPr>
                <w:rFonts w:hint="default" w:ascii="Times New Roman" w:hAnsi="Times New Roman" w:eastAsia="仿宋_GB2312" w:cs="Times New Roman"/>
                <w:sz w:val="32"/>
                <w:szCs w:val="32"/>
                <w:lang w:val="en-US" w:eastAsia="zh-CN"/>
              </w:rPr>
            </w:pPr>
          </w:p>
        </w:tc>
        <w:tc>
          <w:tcPr>
            <w:tcW w:w="1575" w:type="dxa"/>
            <w:vAlign w:val="center"/>
          </w:tcPr>
          <w:p>
            <w:pPr>
              <w:spacing w:before="312" w:beforeLines="100" w:line="360" w:lineRule="exact"/>
              <w:jc w:val="center"/>
              <w:rPr>
                <w:rFonts w:hint="default" w:ascii="Times New Roman" w:hAnsi="Times New Roman" w:eastAsia="仿宋_GB2312" w:cs="Times New Roman"/>
                <w:sz w:val="32"/>
                <w:szCs w:val="32"/>
              </w:rPr>
            </w:pPr>
          </w:p>
        </w:tc>
        <w:tc>
          <w:tcPr>
            <w:tcW w:w="1650" w:type="dxa"/>
            <w:vAlign w:val="center"/>
          </w:tcPr>
          <w:p>
            <w:pPr>
              <w:spacing w:before="312" w:beforeLines="100" w:line="360" w:lineRule="exact"/>
              <w:jc w:val="center"/>
              <w:rPr>
                <w:rFonts w:hint="default" w:ascii="Times New Roman" w:hAnsi="Times New Roman" w:eastAsia="仿宋_GB2312" w:cs="Times New Roman"/>
                <w:sz w:val="32"/>
                <w:szCs w:val="32"/>
              </w:rPr>
            </w:pPr>
          </w:p>
        </w:tc>
        <w:tc>
          <w:tcPr>
            <w:tcW w:w="1575" w:type="dxa"/>
            <w:vAlign w:val="center"/>
          </w:tcPr>
          <w:p>
            <w:pPr>
              <w:spacing w:before="312" w:beforeLines="100" w:line="360" w:lineRule="exact"/>
              <w:jc w:val="center"/>
              <w:rPr>
                <w:rFonts w:hint="default" w:ascii="Times New Roman" w:hAnsi="Times New Roman" w:eastAsia="仿宋_GB2312" w:cs="Times New Roman"/>
                <w:sz w:val="32"/>
                <w:szCs w:val="32"/>
              </w:rPr>
            </w:pPr>
          </w:p>
        </w:tc>
        <w:tc>
          <w:tcPr>
            <w:tcW w:w="1335" w:type="dxa"/>
            <w:vAlign w:val="center"/>
          </w:tcPr>
          <w:p>
            <w:pPr>
              <w:spacing w:before="312" w:beforeLines="100" w:line="360" w:lineRule="exact"/>
              <w:jc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918" w:type="dxa"/>
            <w:vAlign w:val="center"/>
          </w:tcPr>
          <w:p>
            <w:pPr>
              <w:spacing w:before="312" w:beforeLines="100" w:line="360" w:lineRule="exact"/>
              <w:jc w:val="center"/>
              <w:rPr>
                <w:rFonts w:hint="default" w:ascii="Times New Roman" w:hAnsi="Times New Roman" w:eastAsia="仿宋_GB2312" w:cs="Times New Roman"/>
                <w:sz w:val="32"/>
                <w:szCs w:val="32"/>
              </w:rPr>
            </w:pPr>
          </w:p>
        </w:tc>
        <w:tc>
          <w:tcPr>
            <w:tcW w:w="1635" w:type="dxa"/>
            <w:vAlign w:val="center"/>
          </w:tcPr>
          <w:p>
            <w:pPr>
              <w:spacing w:before="312" w:beforeLines="100" w:line="360" w:lineRule="exact"/>
              <w:jc w:val="center"/>
              <w:rPr>
                <w:rFonts w:hint="default" w:ascii="Times New Roman" w:hAnsi="Times New Roman" w:eastAsia="仿宋_GB2312" w:cs="Times New Roman"/>
                <w:sz w:val="32"/>
                <w:szCs w:val="32"/>
                <w:lang w:val="en-US" w:eastAsia="zh-CN"/>
              </w:rPr>
            </w:pPr>
          </w:p>
        </w:tc>
        <w:tc>
          <w:tcPr>
            <w:tcW w:w="1575" w:type="dxa"/>
            <w:vAlign w:val="center"/>
          </w:tcPr>
          <w:p>
            <w:pPr>
              <w:spacing w:before="312" w:beforeLines="100" w:line="360" w:lineRule="exact"/>
              <w:jc w:val="center"/>
              <w:rPr>
                <w:rFonts w:hint="default" w:ascii="Times New Roman" w:hAnsi="Times New Roman" w:eastAsia="仿宋_GB2312" w:cs="Times New Roman"/>
                <w:sz w:val="32"/>
                <w:szCs w:val="32"/>
              </w:rPr>
            </w:pPr>
          </w:p>
        </w:tc>
        <w:tc>
          <w:tcPr>
            <w:tcW w:w="1650" w:type="dxa"/>
            <w:vAlign w:val="center"/>
          </w:tcPr>
          <w:p>
            <w:pPr>
              <w:spacing w:before="312" w:beforeLines="100" w:line="360" w:lineRule="exact"/>
              <w:jc w:val="center"/>
              <w:rPr>
                <w:rFonts w:hint="default" w:ascii="Times New Roman" w:hAnsi="Times New Roman" w:eastAsia="仿宋_GB2312" w:cs="Times New Roman"/>
                <w:sz w:val="32"/>
                <w:szCs w:val="32"/>
              </w:rPr>
            </w:pPr>
          </w:p>
        </w:tc>
        <w:tc>
          <w:tcPr>
            <w:tcW w:w="1575" w:type="dxa"/>
            <w:vAlign w:val="center"/>
          </w:tcPr>
          <w:p>
            <w:pPr>
              <w:spacing w:before="312" w:beforeLines="100" w:line="360" w:lineRule="exact"/>
              <w:jc w:val="center"/>
              <w:rPr>
                <w:rFonts w:hint="default" w:ascii="Times New Roman" w:hAnsi="Times New Roman" w:eastAsia="仿宋_GB2312" w:cs="Times New Roman"/>
                <w:sz w:val="32"/>
                <w:szCs w:val="32"/>
              </w:rPr>
            </w:pPr>
          </w:p>
        </w:tc>
        <w:tc>
          <w:tcPr>
            <w:tcW w:w="1335" w:type="dxa"/>
            <w:vAlign w:val="center"/>
          </w:tcPr>
          <w:p>
            <w:pPr>
              <w:spacing w:before="312" w:beforeLines="100" w:line="360" w:lineRule="exact"/>
              <w:jc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918" w:type="dxa"/>
            <w:vAlign w:val="center"/>
          </w:tcPr>
          <w:p>
            <w:pPr>
              <w:spacing w:before="312" w:beforeLines="100" w:line="360" w:lineRule="exact"/>
              <w:jc w:val="center"/>
              <w:rPr>
                <w:rFonts w:hint="default" w:ascii="Times New Roman" w:hAnsi="Times New Roman" w:eastAsia="仿宋_GB2312" w:cs="Times New Roman"/>
                <w:sz w:val="32"/>
                <w:szCs w:val="32"/>
              </w:rPr>
            </w:pPr>
          </w:p>
        </w:tc>
        <w:tc>
          <w:tcPr>
            <w:tcW w:w="1635" w:type="dxa"/>
            <w:vAlign w:val="center"/>
          </w:tcPr>
          <w:p>
            <w:pPr>
              <w:spacing w:before="312" w:beforeLines="100" w:line="360" w:lineRule="exact"/>
              <w:jc w:val="center"/>
              <w:rPr>
                <w:rFonts w:hint="default" w:ascii="Times New Roman" w:hAnsi="Times New Roman" w:eastAsia="仿宋_GB2312" w:cs="Times New Roman"/>
                <w:sz w:val="32"/>
                <w:szCs w:val="32"/>
                <w:lang w:val="en-US" w:eastAsia="zh-CN"/>
              </w:rPr>
            </w:pPr>
          </w:p>
        </w:tc>
        <w:tc>
          <w:tcPr>
            <w:tcW w:w="1575" w:type="dxa"/>
            <w:vAlign w:val="center"/>
          </w:tcPr>
          <w:p>
            <w:pPr>
              <w:spacing w:before="312" w:beforeLines="100" w:line="360" w:lineRule="exact"/>
              <w:jc w:val="center"/>
              <w:rPr>
                <w:rFonts w:hint="default" w:ascii="Times New Roman" w:hAnsi="Times New Roman" w:eastAsia="仿宋_GB2312" w:cs="Times New Roman"/>
                <w:sz w:val="32"/>
                <w:szCs w:val="32"/>
              </w:rPr>
            </w:pPr>
          </w:p>
        </w:tc>
        <w:tc>
          <w:tcPr>
            <w:tcW w:w="1650" w:type="dxa"/>
            <w:vAlign w:val="center"/>
          </w:tcPr>
          <w:p>
            <w:pPr>
              <w:spacing w:before="312" w:beforeLines="100" w:line="360" w:lineRule="exact"/>
              <w:jc w:val="center"/>
              <w:rPr>
                <w:rFonts w:hint="default" w:ascii="Times New Roman" w:hAnsi="Times New Roman" w:eastAsia="仿宋_GB2312" w:cs="Times New Roman"/>
                <w:sz w:val="32"/>
                <w:szCs w:val="32"/>
              </w:rPr>
            </w:pPr>
          </w:p>
        </w:tc>
        <w:tc>
          <w:tcPr>
            <w:tcW w:w="1575" w:type="dxa"/>
            <w:vAlign w:val="center"/>
          </w:tcPr>
          <w:p>
            <w:pPr>
              <w:spacing w:before="312" w:beforeLines="100" w:line="360" w:lineRule="exact"/>
              <w:jc w:val="center"/>
              <w:rPr>
                <w:rFonts w:hint="default" w:ascii="Times New Roman" w:hAnsi="Times New Roman" w:eastAsia="仿宋_GB2312" w:cs="Times New Roman"/>
                <w:sz w:val="32"/>
                <w:szCs w:val="32"/>
              </w:rPr>
            </w:pPr>
          </w:p>
        </w:tc>
        <w:tc>
          <w:tcPr>
            <w:tcW w:w="1335" w:type="dxa"/>
            <w:vAlign w:val="center"/>
          </w:tcPr>
          <w:p>
            <w:pPr>
              <w:spacing w:before="312" w:beforeLines="100" w:line="360" w:lineRule="exact"/>
              <w:jc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918" w:type="dxa"/>
            <w:vAlign w:val="center"/>
          </w:tcPr>
          <w:p>
            <w:pPr>
              <w:spacing w:before="312" w:beforeLines="100" w:line="360" w:lineRule="exact"/>
              <w:jc w:val="center"/>
              <w:rPr>
                <w:rFonts w:hint="default" w:ascii="Times New Roman" w:hAnsi="Times New Roman" w:eastAsia="仿宋_GB2312" w:cs="Times New Roman"/>
                <w:sz w:val="32"/>
                <w:szCs w:val="32"/>
              </w:rPr>
            </w:pPr>
          </w:p>
        </w:tc>
        <w:tc>
          <w:tcPr>
            <w:tcW w:w="1635" w:type="dxa"/>
            <w:vAlign w:val="center"/>
          </w:tcPr>
          <w:p>
            <w:pPr>
              <w:spacing w:before="312" w:beforeLines="100" w:line="360" w:lineRule="exact"/>
              <w:jc w:val="center"/>
              <w:rPr>
                <w:rFonts w:hint="default" w:ascii="Times New Roman" w:hAnsi="Times New Roman" w:eastAsia="仿宋_GB2312" w:cs="Times New Roman"/>
                <w:sz w:val="32"/>
                <w:szCs w:val="32"/>
                <w:lang w:val="en-US" w:eastAsia="zh-CN"/>
              </w:rPr>
            </w:pPr>
          </w:p>
        </w:tc>
        <w:tc>
          <w:tcPr>
            <w:tcW w:w="1575" w:type="dxa"/>
            <w:vAlign w:val="center"/>
          </w:tcPr>
          <w:p>
            <w:pPr>
              <w:spacing w:before="312" w:beforeLines="100" w:line="360" w:lineRule="exact"/>
              <w:jc w:val="center"/>
              <w:rPr>
                <w:rFonts w:hint="default" w:ascii="Times New Roman" w:hAnsi="Times New Roman" w:eastAsia="仿宋_GB2312" w:cs="Times New Roman"/>
                <w:sz w:val="32"/>
                <w:szCs w:val="32"/>
              </w:rPr>
            </w:pPr>
          </w:p>
        </w:tc>
        <w:tc>
          <w:tcPr>
            <w:tcW w:w="1650" w:type="dxa"/>
            <w:vAlign w:val="center"/>
          </w:tcPr>
          <w:p>
            <w:pPr>
              <w:spacing w:before="312" w:beforeLines="100" w:line="360" w:lineRule="exact"/>
              <w:jc w:val="center"/>
              <w:rPr>
                <w:rFonts w:hint="default" w:ascii="Times New Roman" w:hAnsi="Times New Roman" w:eastAsia="仿宋_GB2312" w:cs="Times New Roman"/>
                <w:sz w:val="32"/>
                <w:szCs w:val="32"/>
              </w:rPr>
            </w:pPr>
          </w:p>
        </w:tc>
        <w:tc>
          <w:tcPr>
            <w:tcW w:w="1575" w:type="dxa"/>
            <w:vAlign w:val="center"/>
          </w:tcPr>
          <w:p>
            <w:pPr>
              <w:spacing w:before="312" w:beforeLines="100" w:line="360" w:lineRule="exact"/>
              <w:jc w:val="center"/>
              <w:rPr>
                <w:rFonts w:hint="default" w:ascii="Times New Roman" w:hAnsi="Times New Roman" w:eastAsia="仿宋_GB2312" w:cs="Times New Roman"/>
                <w:sz w:val="32"/>
                <w:szCs w:val="32"/>
              </w:rPr>
            </w:pPr>
          </w:p>
        </w:tc>
        <w:tc>
          <w:tcPr>
            <w:tcW w:w="1335" w:type="dxa"/>
            <w:vAlign w:val="center"/>
          </w:tcPr>
          <w:p>
            <w:pPr>
              <w:spacing w:before="312" w:beforeLines="100" w:line="360" w:lineRule="exact"/>
              <w:jc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918" w:type="dxa"/>
            <w:vAlign w:val="center"/>
          </w:tcPr>
          <w:p>
            <w:pPr>
              <w:spacing w:before="312" w:beforeLines="100" w:line="360" w:lineRule="exact"/>
              <w:jc w:val="center"/>
              <w:rPr>
                <w:rFonts w:hint="default" w:ascii="Times New Roman" w:hAnsi="Times New Roman" w:eastAsia="仿宋_GB2312" w:cs="Times New Roman"/>
                <w:sz w:val="32"/>
                <w:szCs w:val="32"/>
              </w:rPr>
            </w:pPr>
          </w:p>
        </w:tc>
        <w:tc>
          <w:tcPr>
            <w:tcW w:w="1635" w:type="dxa"/>
            <w:vAlign w:val="center"/>
          </w:tcPr>
          <w:p>
            <w:pPr>
              <w:spacing w:before="312" w:beforeLines="100" w:line="360" w:lineRule="exact"/>
              <w:jc w:val="center"/>
              <w:rPr>
                <w:rFonts w:hint="default" w:ascii="Times New Roman" w:hAnsi="Times New Roman" w:eastAsia="仿宋_GB2312" w:cs="Times New Roman"/>
                <w:sz w:val="32"/>
                <w:szCs w:val="32"/>
                <w:lang w:val="en-US" w:eastAsia="zh-CN"/>
              </w:rPr>
            </w:pPr>
          </w:p>
        </w:tc>
        <w:tc>
          <w:tcPr>
            <w:tcW w:w="1575" w:type="dxa"/>
            <w:vAlign w:val="center"/>
          </w:tcPr>
          <w:p>
            <w:pPr>
              <w:spacing w:before="312" w:beforeLines="100" w:line="360" w:lineRule="exact"/>
              <w:jc w:val="center"/>
              <w:rPr>
                <w:rFonts w:hint="default" w:ascii="Times New Roman" w:hAnsi="Times New Roman" w:eastAsia="仿宋_GB2312" w:cs="Times New Roman"/>
                <w:sz w:val="32"/>
                <w:szCs w:val="32"/>
              </w:rPr>
            </w:pPr>
          </w:p>
        </w:tc>
        <w:tc>
          <w:tcPr>
            <w:tcW w:w="1650" w:type="dxa"/>
            <w:vAlign w:val="center"/>
          </w:tcPr>
          <w:p>
            <w:pPr>
              <w:spacing w:before="312" w:beforeLines="100" w:line="360" w:lineRule="exact"/>
              <w:jc w:val="center"/>
              <w:rPr>
                <w:rFonts w:hint="default" w:ascii="Times New Roman" w:hAnsi="Times New Roman" w:eastAsia="仿宋_GB2312" w:cs="Times New Roman"/>
                <w:sz w:val="32"/>
                <w:szCs w:val="32"/>
              </w:rPr>
            </w:pPr>
          </w:p>
        </w:tc>
        <w:tc>
          <w:tcPr>
            <w:tcW w:w="1575" w:type="dxa"/>
            <w:vAlign w:val="center"/>
          </w:tcPr>
          <w:p>
            <w:pPr>
              <w:spacing w:before="312" w:beforeLines="100" w:line="360" w:lineRule="exact"/>
              <w:jc w:val="center"/>
              <w:rPr>
                <w:rFonts w:hint="default" w:ascii="Times New Roman" w:hAnsi="Times New Roman" w:eastAsia="仿宋_GB2312" w:cs="Times New Roman"/>
                <w:sz w:val="32"/>
                <w:szCs w:val="32"/>
              </w:rPr>
            </w:pPr>
          </w:p>
        </w:tc>
        <w:tc>
          <w:tcPr>
            <w:tcW w:w="1335" w:type="dxa"/>
            <w:vAlign w:val="center"/>
          </w:tcPr>
          <w:p>
            <w:pPr>
              <w:spacing w:before="312" w:beforeLines="100" w:line="360" w:lineRule="exact"/>
              <w:jc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918" w:type="dxa"/>
            <w:vAlign w:val="center"/>
          </w:tcPr>
          <w:p>
            <w:pPr>
              <w:spacing w:before="312" w:beforeLines="100" w:line="360" w:lineRule="exact"/>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合计</w:t>
            </w:r>
          </w:p>
        </w:tc>
        <w:tc>
          <w:tcPr>
            <w:tcW w:w="1635" w:type="dxa"/>
            <w:vAlign w:val="center"/>
          </w:tcPr>
          <w:p>
            <w:pPr>
              <w:spacing w:before="312" w:beforeLines="100" w:line="360" w:lineRule="exact"/>
              <w:jc w:val="center"/>
              <w:rPr>
                <w:rFonts w:hint="default" w:ascii="Times New Roman" w:hAnsi="Times New Roman" w:eastAsia="仿宋_GB2312" w:cs="Times New Roman"/>
                <w:sz w:val="32"/>
                <w:szCs w:val="32"/>
                <w:lang w:val="en-US" w:eastAsia="zh-CN"/>
              </w:rPr>
            </w:pPr>
          </w:p>
        </w:tc>
        <w:tc>
          <w:tcPr>
            <w:tcW w:w="1575" w:type="dxa"/>
            <w:vAlign w:val="center"/>
          </w:tcPr>
          <w:p>
            <w:pPr>
              <w:spacing w:before="312" w:beforeLines="100" w:line="360" w:lineRule="exact"/>
              <w:jc w:val="center"/>
              <w:rPr>
                <w:rFonts w:hint="default" w:ascii="Times New Roman" w:hAnsi="Times New Roman" w:eastAsia="仿宋_GB2312" w:cs="Times New Roman"/>
                <w:sz w:val="32"/>
                <w:szCs w:val="32"/>
              </w:rPr>
            </w:pPr>
          </w:p>
        </w:tc>
        <w:tc>
          <w:tcPr>
            <w:tcW w:w="1650" w:type="dxa"/>
            <w:vAlign w:val="center"/>
          </w:tcPr>
          <w:p>
            <w:pPr>
              <w:spacing w:before="312" w:beforeLines="100" w:line="360" w:lineRule="exact"/>
              <w:jc w:val="center"/>
              <w:rPr>
                <w:rFonts w:hint="default" w:ascii="Times New Roman" w:hAnsi="Times New Roman" w:eastAsia="仿宋_GB2312" w:cs="Times New Roman"/>
                <w:sz w:val="32"/>
                <w:szCs w:val="32"/>
              </w:rPr>
            </w:pPr>
          </w:p>
        </w:tc>
        <w:tc>
          <w:tcPr>
            <w:tcW w:w="1575" w:type="dxa"/>
            <w:vAlign w:val="center"/>
          </w:tcPr>
          <w:p>
            <w:pPr>
              <w:spacing w:before="312" w:beforeLines="100" w:line="360" w:lineRule="exact"/>
              <w:jc w:val="center"/>
              <w:rPr>
                <w:rFonts w:hint="default" w:ascii="Times New Roman" w:hAnsi="Times New Roman" w:eastAsia="仿宋_GB2312" w:cs="Times New Roman"/>
                <w:sz w:val="32"/>
                <w:szCs w:val="32"/>
              </w:rPr>
            </w:pPr>
          </w:p>
        </w:tc>
        <w:tc>
          <w:tcPr>
            <w:tcW w:w="1335" w:type="dxa"/>
            <w:vAlign w:val="center"/>
          </w:tcPr>
          <w:p>
            <w:pPr>
              <w:spacing w:before="312" w:beforeLines="100" w:line="360" w:lineRule="exact"/>
              <w:jc w:val="center"/>
              <w:rPr>
                <w:rFonts w:hint="default" w:ascii="Times New Roman" w:hAnsi="Times New Roman" w:eastAsia="仿宋_GB2312" w:cs="Times New Roman"/>
                <w:sz w:val="32"/>
                <w:szCs w:val="32"/>
              </w:rPr>
            </w:pPr>
          </w:p>
        </w:tc>
      </w:tr>
    </w:tbl>
    <w:p>
      <w:pPr>
        <w:spacing w:line="360"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参选机构（法人公章）</w:t>
      </w:r>
    </w:p>
    <w:p>
      <w:pPr>
        <w:spacing w:line="360"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法定代表人(签字或盖章)：</w:t>
      </w:r>
    </w:p>
    <w:p>
      <w:pPr>
        <w:spacing w:line="360"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授权代表(签字或盖章)：</w:t>
      </w:r>
    </w:p>
    <w:p>
      <w:pPr>
        <w:spacing w:line="360"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日    期：</w:t>
      </w:r>
    </w:p>
    <w:p>
      <w:pPr>
        <w:widowControl/>
        <w:jc w:val="left"/>
        <w:rPr>
          <w:rFonts w:hint="default" w:ascii="Times New Roman" w:hAnsi="Times New Roman" w:eastAsia="黑体" w:cs="Times New Roman"/>
          <w:sz w:val="30"/>
          <w:szCs w:val="30"/>
        </w:rPr>
      </w:pPr>
      <w:r>
        <w:rPr>
          <w:rFonts w:hint="default" w:ascii="Times New Roman" w:hAnsi="Times New Roman" w:eastAsia="黑体" w:cs="Times New Roman"/>
          <w:sz w:val="30"/>
          <w:szCs w:val="30"/>
        </w:rPr>
        <w:br w:type="page"/>
      </w:r>
    </w:p>
    <w:p>
      <w:pPr>
        <w:pStyle w:val="3"/>
        <w:spacing w:line="56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附件五：承诺书</w:t>
      </w:r>
    </w:p>
    <w:p>
      <w:pPr>
        <w:spacing w:line="560" w:lineRule="exact"/>
        <w:jc w:val="center"/>
        <w:rPr>
          <w:rFonts w:hint="default" w:ascii="Times New Roman" w:hAnsi="Times New Roman" w:eastAsia="方正小标宋_GBK" w:cs="Times New Roman"/>
          <w:b/>
          <w:bCs/>
          <w:sz w:val="44"/>
          <w:szCs w:val="44"/>
        </w:rPr>
      </w:pPr>
      <w:r>
        <w:rPr>
          <w:rFonts w:hint="default" w:ascii="Times New Roman" w:hAnsi="Times New Roman" w:eastAsia="方正小标宋_GBK" w:cs="Times New Roman"/>
          <w:b/>
          <w:bCs/>
          <w:sz w:val="44"/>
          <w:szCs w:val="44"/>
        </w:rPr>
        <w:t>承 诺 书</w:t>
      </w:r>
    </w:p>
    <w:p>
      <w:pPr>
        <w:spacing w:line="560" w:lineRule="exact"/>
        <w:jc w:val="center"/>
        <w:rPr>
          <w:rFonts w:hint="default" w:ascii="Times New Roman" w:hAnsi="Times New Roman" w:cs="Times New Roman"/>
          <w:b/>
          <w:sz w:val="44"/>
          <w:szCs w:val="21"/>
        </w:rPr>
      </w:pPr>
    </w:p>
    <w:p>
      <w:pPr>
        <w:spacing w:line="560" w:lineRule="exact"/>
        <w:jc w:val="lef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四川</w:t>
      </w:r>
      <w:r>
        <w:rPr>
          <w:rFonts w:hint="default" w:ascii="Times New Roman" w:hAnsi="Times New Roman" w:eastAsia="仿宋_GB2312" w:cs="Times New Roman"/>
          <w:sz w:val="32"/>
          <w:szCs w:val="32"/>
          <w:highlight w:val="none"/>
          <w:lang w:val="en-US" w:eastAsia="zh-CN"/>
        </w:rPr>
        <w:t>蜀道物流集团</w:t>
      </w:r>
      <w:r>
        <w:rPr>
          <w:rFonts w:hint="default" w:ascii="Times New Roman" w:hAnsi="Times New Roman" w:eastAsia="仿宋_GB2312" w:cs="Times New Roman"/>
          <w:sz w:val="32"/>
          <w:szCs w:val="32"/>
          <w:highlight w:val="none"/>
        </w:rPr>
        <w:t>有限公司：</w:t>
      </w: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highlight w:val="none"/>
        </w:rPr>
        <w:t>本单位自愿参加四川</w:t>
      </w:r>
      <w:r>
        <w:rPr>
          <w:rFonts w:hint="default" w:ascii="Times New Roman" w:hAnsi="Times New Roman" w:eastAsia="仿宋_GB2312" w:cs="Times New Roman"/>
          <w:sz w:val="32"/>
          <w:szCs w:val="32"/>
          <w:highlight w:val="none"/>
          <w:lang w:val="en-US" w:eastAsia="zh-CN"/>
        </w:rPr>
        <w:t>蜀道物流</w:t>
      </w:r>
      <w:r>
        <w:rPr>
          <w:rFonts w:hint="default" w:ascii="Times New Roman" w:hAnsi="Times New Roman" w:eastAsia="仿宋_GB2312" w:cs="Times New Roman"/>
          <w:sz w:val="32"/>
          <w:szCs w:val="32"/>
          <w:highlight w:val="none"/>
        </w:rPr>
        <w:t>集团有限公司</w:t>
      </w:r>
      <w:r>
        <w:rPr>
          <w:rFonts w:hint="default" w:ascii="Times New Roman" w:hAnsi="Times New Roman" w:eastAsia="仿宋_GB2312" w:cs="Times New Roman"/>
          <w:sz w:val="32"/>
          <w:szCs w:val="32"/>
          <w:highlight w:val="none"/>
          <w:lang w:val="en-US" w:eastAsia="zh-CN"/>
        </w:rPr>
        <w:t>招聘服务</w:t>
      </w:r>
      <w:r>
        <w:rPr>
          <w:rFonts w:hint="default" w:ascii="Times New Roman" w:hAnsi="Times New Roman" w:eastAsia="仿宋_GB2312" w:cs="Times New Roman"/>
          <w:sz w:val="32"/>
          <w:szCs w:val="32"/>
        </w:rPr>
        <w:t>中介机构选聘，并保证选聘文件中所列举报价文件及相关资料和公司基本情况资料是真实的、有效的、合法的。为此,本公司承诺如下：</w:t>
      </w: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1.同意选聘文件中的有关规定。</w:t>
      </w: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2.同意提供按照贵方要求的与选聘有关的一切数据、情况和资料等。</w:t>
      </w: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3.本单位如中选，保证按照选聘文件的承诺与贵方签订服务协议。</w:t>
      </w: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4.无论本单位中选或者落选，均保证不向任何第三方泄露本次选聘的相关信息，不向任何第三方披露获得的或收到的任何文件资料及非公开信息。</w:t>
      </w: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5.本单位参与本次选聘申请，保证不存在以下情形：</w:t>
      </w: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（1）提供虚假材料谋取中选；</w:t>
      </w: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（2）采取不正当手段诋毁、排挤其他选聘申请人；</w:t>
      </w: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（3）与其它选聘人申请人恶意串通；</w:t>
      </w: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（4）向选聘人行贿或者提供其他不正当利益；</w:t>
      </w: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（5）拒绝有关部门监督检查或提供虚假情况；</w:t>
      </w: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（6）有其他违规行为。</w:t>
      </w:r>
    </w:p>
    <w:p>
      <w:pPr>
        <w:spacing w:line="560" w:lineRule="exact"/>
        <w:ind w:firstLine="640" w:firstLineChars="200"/>
        <w:jc w:val="left"/>
        <w:rPr>
          <w:rFonts w:hint="default" w:ascii="Times New Roman" w:hAnsi="Times New Roman" w:eastAsia="仿宋_GB2312" w:cs="Times New Roman"/>
          <w:sz w:val="32"/>
          <w:szCs w:val="32"/>
        </w:rPr>
      </w:pPr>
    </w:p>
    <w:p>
      <w:pPr>
        <w:spacing w:line="560" w:lineRule="exact"/>
        <w:ind w:right="-817" w:rightChars="-38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选聘申请人名称（盖章）：</w:t>
      </w:r>
    </w:p>
    <w:p>
      <w:pPr>
        <w:spacing w:line="560" w:lineRule="exact"/>
        <w:ind w:right="-817" w:rightChars="-38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法定代表人或授权委托人（签字或盖章）：</w:t>
      </w:r>
    </w:p>
    <w:p>
      <w:pPr>
        <w:spacing w:line="560" w:lineRule="exact"/>
        <w:ind w:left="-21" w:leftChars="-10" w:right="-817" w:rightChars="-389" w:firstLine="6294" w:firstLineChars="1967"/>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   月   日</w:t>
      </w:r>
    </w:p>
    <w:p>
      <w:pPr>
        <w:keepNext/>
        <w:keepLines/>
        <w:tabs>
          <w:tab w:val="left" w:pos="432"/>
          <w:tab w:val="left" w:pos="576"/>
        </w:tabs>
        <w:spacing w:before="260" w:after="260" w:line="560" w:lineRule="exact"/>
        <w:outlineLvl w:val="1"/>
        <w:rPr>
          <w:rFonts w:hint="default" w:ascii="Times New Roman" w:hAnsi="Times New Roman" w:eastAsia="黑体" w:cs="Times New Roman"/>
          <w:bCs/>
          <w:sz w:val="28"/>
          <w:szCs w:val="21"/>
        </w:rPr>
        <w:sectPr>
          <w:headerReference r:id="rId3" w:type="default"/>
          <w:footerReference r:id="rId4" w:type="default"/>
          <w:pgSz w:w="11906" w:h="16838"/>
          <w:pgMar w:top="1440" w:right="1800" w:bottom="1440" w:left="1800" w:header="851" w:footer="992" w:gutter="0"/>
          <w:cols w:space="720" w:num="1"/>
          <w:titlePg/>
          <w:docGrid w:type="lines" w:linePitch="312" w:charSpace="0"/>
        </w:sectPr>
      </w:pPr>
    </w:p>
    <w:p>
      <w:pPr>
        <w:pStyle w:val="3"/>
        <w:spacing w:line="56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附件六：保密承诺函 </w:t>
      </w:r>
    </w:p>
    <w:p>
      <w:pPr>
        <w:spacing w:line="560" w:lineRule="exact"/>
        <w:jc w:val="center"/>
        <w:rPr>
          <w:rFonts w:hint="default" w:ascii="Times New Roman" w:hAnsi="Times New Roman" w:eastAsia="方正小标宋_GBK" w:cs="Times New Roman"/>
          <w:b/>
          <w:bCs/>
          <w:sz w:val="44"/>
          <w:szCs w:val="44"/>
        </w:rPr>
      </w:pPr>
      <w:r>
        <w:rPr>
          <w:rFonts w:hint="default" w:ascii="Times New Roman" w:hAnsi="Times New Roman" w:eastAsia="方正小标宋_GBK" w:cs="Times New Roman"/>
          <w:b/>
          <w:bCs/>
          <w:sz w:val="44"/>
          <w:szCs w:val="44"/>
        </w:rPr>
        <w:t>保密承诺函</w:t>
      </w:r>
    </w:p>
    <w:p>
      <w:pPr>
        <w:spacing w:line="560" w:lineRule="exact"/>
        <w:rPr>
          <w:rFonts w:hint="default" w:ascii="Times New Roman" w:hAnsi="Times New Roman" w:cs="Times New Roman"/>
          <w:sz w:val="24"/>
        </w:rPr>
      </w:pP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承诺背景：信息接受方希望从信息披露方获取保密信息，信息接受方承诺根据本函的条款对信息接受方提供信息保密，保密期限自信息接受方签署本函之日起两年。</w:t>
      </w: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rPr>
        <w:t>信息披露方：</w:t>
      </w:r>
      <w:r>
        <w:rPr>
          <w:rFonts w:hint="default" w:ascii="Times New Roman" w:hAnsi="Times New Roman" w:eastAsia="仿宋_GB2312" w:cs="Times New Roman"/>
          <w:sz w:val="32"/>
          <w:szCs w:val="32"/>
          <w:highlight w:val="none"/>
        </w:rPr>
        <w:t>四川</w:t>
      </w:r>
      <w:r>
        <w:rPr>
          <w:rFonts w:hint="default" w:ascii="Times New Roman" w:hAnsi="Times New Roman" w:eastAsia="仿宋_GB2312" w:cs="Times New Roman"/>
          <w:sz w:val="32"/>
          <w:szCs w:val="32"/>
          <w:highlight w:val="none"/>
          <w:lang w:val="en-US" w:eastAsia="zh-CN"/>
        </w:rPr>
        <w:t>蜀道物流</w:t>
      </w:r>
      <w:r>
        <w:rPr>
          <w:rFonts w:hint="default" w:ascii="Times New Roman" w:hAnsi="Times New Roman" w:eastAsia="仿宋_GB2312" w:cs="Times New Roman"/>
          <w:sz w:val="32"/>
          <w:szCs w:val="32"/>
          <w:highlight w:val="none"/>
        </w:rPr>
        <w:t>集团有限公司</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住所：成都市青羊区光华北5路266号青羊总部经济基地2栋A座</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信息接受方：</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住      所：   </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法定代表人：</w:t>
      </w:r>
    </w:p>
    <w:p>
      <w:pPr>
        <w:spacing w:line="560" w:lineRule="exact"/>
        <w:rPr>
          <w:rFonts w:hint="default" w:ascii="Times New Roman" w:hAnsi="Times New Roman" w:eastAsia="仿宋_GB2312" w:cs="Times New Roman"/>
          <w:sz w:val="32"/>
          <w:szCs w:val="32"/>
        </w:rPr>
      </w:pP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  定义和解释</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  定义</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以下术语应含有下列含义,除非另有规定:</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保密信息是指:</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ａ)所有由信息披露方提供给信息接受方、其关联方或代表的关于项目目的的口头或书面通信、文件和其他信息(无论是电脑磁盘、可视文件或其他形式)，包括但不限于：(i)与信息披露方和/或项目目的有关的所有资料；(ii)关于涉及项目目的的任何谈判的存在、性质或进度的所有资料;(iii) 信息接受方根据前述资料注解、准备或产生的任何其他文件和资料，或者含有或反映该等资料的文件和资料。</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(b)可能或已经将保密信息提供给信息披露方、其关联方或代表的事实。</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关联方，指直接或(通过一个或多个中间方)间接控制一方，被一方控制或与一方在共同控制之下的人或实体,和关于项目目的而与一方签有协议的任何人或实体。</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代表，指一方或其关联方的任何董事、高级管理人员、员工、融资者或法律顾问、财务顾问、独立审计师或任何其他代理人。</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  解释</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除非有相反的意思表示,本函中:</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（ａ）文件包括任何草图、说明、材料、记录及其他可以储存或复制保密信息的方式；</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（b）任何事物(包括任何权利)应包括其中的任何一部分;</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（c）一组人或事物指两个或多个人或事物的集合体或其中的任意一个；</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（d）词语“包括”并不包含“仅限于”的含义;</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（e）同意/许可指事先书面同意或许可；</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f）控制是指如果一个实体在另一实体中直接或间接拥有的股份数量（或股权比例）代表了后者百分之五十(50%)或以上的投票权、或使前者可享有后者百分之五十(50%)或以上的收入，或使前者在后者清算时可以获得后者百分之五十(50%)或以上的资产，后者应被视为被前者所控制。</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  保密</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2.1  保密信息处理</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未经信息披露方的许可，信息接受方不得:</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（a）披露或公布保密信息;</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（b）除为项目目的外,以任何形式复制包含了、基于或使用了保密信息的任何文件或记录的任何部分。</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2.2  保密信息所有权</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所有向信息接受方披露的保密信息均归信息披露方所有。</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  允许的使用和披露</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3.1  为项目目的而使用</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信息接受方及其关联方只能为项目目的而使用保密信息。</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3.2  在文件中加入保密信息</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信息披露方、其关联方可以为项目目的而准备文件中加入部分保密信息。</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3.3  披露</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信息接受方可以为项目目的向其关联方和其代表披露保密信息，在作披露前，信息接受方应当确保：</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（a）其关联方或代表为项目目的而有获取保密信息的特定需要;</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（b）已经告知并促使其关联方或代表承担对信息披露方的保密责任。</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  限制</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4.1  本函的规定不适用于下述的保密信息:</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(ａ)已存在公共领域的信息，但因信息接受方违反本函而存在于公共领域的信息除外;</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（b）信息接受方在保密信息披露时已经获悉的信息,但信息披露方此前向其披露的保密信息除外，或者信息接受方知悉任何其他人违反保密义务而造成信息接受方知晓该保密信息的除外；</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（c）信息接受方以非保密形式从第三方获得的信息，但信息接受方应当提供第三方证明文件证明其与第三方未签署过任何保密协议;</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（d）应法律要求或任何法院、仲裁庭、政府、管理机构或股票交易市场的要求而披露的信息，但信息接受方应当提供政府机关或管理机构要求披露的相关文件；</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（e）信息接受方、其关联方或代表,在没有依赖保密信息之情况下,所独立开发的信息，但信息接受方应当提供内部资料证明该等信息是其独立开发的。</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4.2  如果信息接受方由于任何法律要求或任何法院、仲裁庭、政府、管理机构或股票交易市场的要求或请求，需要披露任何保密信息，信息接受方应：(i)在合理可行的情况下尽快书面通知信息披露方此情况和被要求或被请求披露的范围；(ii)在合理可行的程度上与信息披露方合作，在披露之时或以后保护被披露资料的保密性。</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  归还保密信息</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5.1  归还或销毁</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应信息披露方的要求，信息接受方应当并促使其关联方或代表:</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(ａ)向信息披露方归还或销毁所有包含保密信息的文件、所有第3.2条中规定的文件以及前述文件的所有副本;</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（b）从电子存储设备中删除所有的保密信息,包括与其他任何信息结合在一起的保密信息。</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5.2  不解除</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信息披露方根据第5.1而采取的任何行动均不能免除信息接受方及其关联方和代表在本函项下的义务。</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  其他</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6.1  适用法律</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函应根据中华人民共和国法律解释并受其管辖。因本函而产生的主张或争议应提交成都仲裁委员会根据其现时有效的仲裁规则在成都通过仲裁解决。仲裁裁决是终局的，对双方均有约束力，并可在任何有管辖权的法院执行该仲裁裁决。</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6.2  修订</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本函一经信息接收方盖章发出即不可撤销、不可修改。</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6.3  生效</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本函一经信息接收方盖章即生效。</w:t>
      </w:r>
    </w:p>
    <w:p>
      <w:pPr>
        <w:spacing w:line="520" w:lineRule="exact"/>
        <w:rPr>
          <w:rFonts w:hint="default" w:ascii="Times New Roman" w:hAnsi="Times New Roman" w:eastAsia="仿宋_GB2312" w:cs="Times New Roman"/>
          <w:sz w:val="32"/>
          <w:szCs w:val="32"/>
        </w:rPr>
      </w:pPr>
    </w:p>
    <w:p>
      <w:pPr>
        <w:spacing w:line="52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信息接收方：（公章）</w:t>
      </w:r>
    </w:p>
    <w:p>
      <w:pPr>
        <w:spacing w:line="520" w:lineRule="exact"/>
        <w:rPr>
          <w:rFonts w:hint="default" w:ascii="Times New Roman" w:hAnsi="Times New Roman" w:eastAsia="仿宋_GB2312" w:cs="Times New Roman"/>
          <w:sz w:val="32"/>
          <w:szCs w:val="32"/>
        </w:rPr>
      </w:pPr>
    </w:p>
    <w:p>
      <w:pPr>
        <w:spacing w:line="520" w:lineRule="exact"/>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签署时间:   年  月  日</w:t>
      </w:r>
      <w:bookmarkStart w:id="14" w:name="_Toc1301431"/>
      <w:bookmarkStart w:id="15" w:name="_Toc448516849"/>
    </w:p>
    <w:p>
      <w:pPr>
        <w:pStyle w:val="3"/>
        <w:spacing w:line="560" w:lineRule="exact"/>
        <w:rPr>
          <w:rFonts w:hint="default" w:ascii="Times New Roman" w:hAnsi="Times New Roman" w:eastAsia="黑体" w:cs="Times New Roman"/>
          <w:sz w:val="32"/>
          <w:szCs w:val="32"/>
        </w:rPr>
      </w:pPr>
    </w:p>
    <w:p>
      <w:pPr>
        <w:spacing w:line="560" w:lineRule="exact"/>
        <w:rPr>
          <w:rFonts w:hint="default" w:ascii="Times New Roman" w:hAnsi="Times New Roman" w:cs="Times New Roman"/>
        </w:rPr>
      </w:pPr>
    </w:p>
    <w:p>
      <w:pPr>
        <w:pStyle w:val="3"/>
        <w:spacing w:line="56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附件七：评审标准</w:t>
      </w:r>
      <w:bookmarkEnd w:id="14"/>
      <w:bookmarkEnd w:id="15"/>
    </w:p>
    <w:p>
      <w:pPr>
        <w:spacing w:line="560" w:lineRule="exact"/>
        <w:jc w:val="center"/>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
          <w:bCs/>
          <w:sz w:val="44"/>
          <w:szCs w:val="44"/>
        </w:rPr>
        <w:t>比选评审办法</w:t>
      </w:r>
    </w:p>
    <w:p>
      <w:pPr>
        <w:spacing w:before="120" w:beforeLines="50"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一、比选人组建评审组</w:t>
      </w:r>
    </w:p>
    <w:p>
      <w:pPr>
        <w:spacing w:before="120" w:beforeLines="5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评审组由5人或5人以上单数组成。</w:t>
      </w:r>
    </w:p>
    <w:p>
      <w:pPr>
        <w:spacing w:before="120" w:beforeLines="50" w:line="560" w:lineRule="exact"/>
        <w:ind w:firstLine="640" w:firstLineChars="200"/>
        <w:rPr>
          <w:rFonts w:hint="default" w:ascii="Times New Roman" w:hAnsi="Times New Roman" w:eastAsia="黑体" w:cs="Times New Roman"/>
          <w:sz w:val="32"/>
          <w:szCs w:val="32"/>
        </w:rPr>
      </w:pPr>
      <w:bookmarkStart w:id="16" w:name="_Ref77046541"/>
      <w:r>
        <w:rPr>
          <w:rFonts w:hint="default" w:ascii="Times New Roman" w:hAnsi="Times New Roman" w:eastAsia="黑体" w:cs="Times New Roman"/>
          <w:sz w:val="32"/>
          <w:szCs w:val="32"/>
        </w:rPr>
        <w:t>二、比选响应文件的资格条件核实</w:t>
      </w:r>
    </w:p>
    <w:p>
      <w:pPr>
        <w:spacing w:before="120" w:beforeLines="5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评审组将审查比选响应人是否有资格圆满地履行合同，如果比选响应人被确定为无资格履行合同，其比选响应文件将被拒绝。</w:t>
      </w:r>
    </w:p>
    <w:p>
      <w:pPr>
        <w:spacing w:before="120" w:beforeLines="5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审查将根据比选响应人按规定提交的资格证明文件进行审查。</w:t>
      </w:r>
    </w:p>
    <w:p>
      <w:pPr>
        <w:spacing w:before="120" w:beforeLines="50"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三、比选响应文件的</w:t>
      </w:r>
      <w:bookmarkEnd w:id="16"/>
      <w:r>
        <w:rPr>
          <w:rFonts w:hint="default" w:ascii="Times New Roman" w:hAnsi="Times New Roman" w:eastAsia="黑体" w:cs="Times New Roman"/>
          <w:sz w:val="32"/>
          <w:szCs w:val="32"/>
        </w:rPr>
        <w:t>初步评审</w:t>
      </w:r>
    </w:p>
    <w:p>
      <w:pPr>
        <w:spacing w:before="120" w:beforeLines="5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在详细审查之前，评审组要审查每份比选响应书是否实质上响应了比选文件的要求，是否存在重大偏差。</w:t>
      </w:r>
    </w:p>
    <w:p>
      <w:pPr>
        <w:spacing w:before="120" w:beforeLines="5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下列情况属于重大偏差：</w:t>
      </w:r>
    </w:p>
    <w:p>
      <w:pPr>
        <w:tabs>
          <w:tab w:val="left" w:pos="482"/>
        </w:tabs>
        <w:spacing w:before="120" w:beforeLines="5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（一）未按比选文件要求加盖单位公章或法定代表人（或授权代表）未签字；</w:t>
      </w:r>
    </w:p>
    <w:p>
      <w:pPr>
        <w:spacing w:before="120" w:beforeLines="5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（二）授权委托书未满足比选文件的要求；</w:t>
      </w:r>
    </w:p>
    <w:p>
      <w:pPr>
        <w:spacing w:before="120" w:beforeLines="5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授权委托书相关要求如下：</w:t>
      </w:r>
    </w:p>
    <w:p>
      <w:pPr>
        <w:spacing w:before="120" w:beforeLines="5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1.本授权书在投标人代表不是投标人法定代表人时办理，如由投标人法定代表人亲自签署投标文件并参与投标相关活动，则不需办理本授权书。</w:t>
      </w:r>
      <w:r>
        <w:rPr>
          <w:rFonts w:hint="default" w:ascii="Times New Roman" w:hAnsi="Times New Roman" w:eastAsia="仿宋_GB2312" w:cs="Times New Roman"/>
          <w:sz w:val="32"/>
          <w:szCs w:val="32"/>
        </w:rPr>
        <w:cr/>
      </w:r>
      <w:r>
        <w:rPr>
          <w:rFonts w:hint="default" w:ascii="Times New Roman" w:hAnsi="Times New Roman" w:cs="Times New Roman"/>
          <w:sz w:val="30"/>
          <w:szCs w:val="30"/>
        </w:rPr>
        <w:t xml:space="preserve">   </w:t>
      </w:r>
      <w:r>
        <w:rPr>
          <w:rFonts w:hint="default" w:ascii="Times New Roman" w:hAnsi="Times New Roman" w:eastAsia="仿宋_GB2312" w:cs="Times New Roman"/>
          <w:sz w:val="32"/>
          <w:szCs w:val="32"/>
        </w:rPr>
        <w:t xml:space="preserve"> 2.如果有委托代理人的，应同时附法定代表人身份证明、授权委托书。否则不通过其初步评审。</w:t>
      </w:r>
      <w:r>
        <w:rPr>
          <w:rFonts w:hint="default" w:ascii="Times New Roman" w:hAnsi="Times New Roman" w:eastAsia="仿宋_GB2312" w:cs="Times New Roman"/>
          <w:sz w:val="32"/>
          <w:szCs w:val="32"/>
        </w:rPr>
        <w:cr/>
      </w:r>
      <w:r>
        <w:rPr>
          <w:rFonts w:hint="default" w:ascii="Times New Roman" w:hAnsi="Times New Roman" w:eastAsia="仿宋_GB2312" w:cs="Times New Roman"/>
          <w:sz w:val="32"/>
          <w:szCs w:val="32"/>
        </w:rPr>
        <w:t xml:space="preserve">    3.委托代理人只能是一个人，且不能再授予他人，否则招标人将认为其授权无效。</w:t>
      </w:r>
      <w:r>
        <w:rPr>
          <w:rFonts w:hint="default" w:ascii="Times New Roman" w:hAnsi="Times New Roman" w:eastAsia="仿宋_GB2312" w:cs="Times New Roman"/>
          <w:sz w:val="32"/>
          <w:szCs w:val="32"/>
        </w:rPr>
        <w:cr/>
      </w:r>
      <w:r>
        <w:rPr>
          <w:rFonts w:hint="default" w:ascii="Times New Roman" w:hAnsi="Times New Roman" w:eastAsia="仿宋_GB2312" w:cs="Times New Roman"/>
          <w:sz w:val="32"/>
          <w:szCs w:val="32"/>
        </w:rPr>
        <w:t xml:space="preserve">    4.投标人法定代表人授权书应加盖投标人公章，授权人和委托代理人均须在授权书上签字，不得使用签名章代替。    </w:t>
      </w:r>
    </w:p>
    <w:p>
      <w:pPr>
        <w:spacing w:before="120" w:beforeLines="5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5.授权书后须附授权人和委托代理人身份证影印件，并保证清晰有效。</w:t>
      </w:r>
    </w:p>
    <w:p>
      <w:pPr>
        <w:spacing w:before="120" w:beforeLines="5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（三）比选响应人未按规定的格式填写，内容不完整或关键字迹模糊、无法辨认的；</w:t>
      </w:r>
    </w:p>
    <w:p>
      <w:pPr>
        <w:spacing w:before="120" w:beforeLines="5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（四）比选响应人递交两份或多份内容不同的比选响应文件，或在一份比选响应文件中对同一比选响应范围报有两个或多个报价，且未声明哪一个为最终报价的；</w:t>
      </w:r>
    </w:p>
    <w:p>
      <w:pPr>
        <w:spacing w:before="120" w:beforeLines="5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（五）比选报价明显偏低（即比选报价小于或等于通过资格审查的所有比选响应人算术平均报价的60％）； </w:t>
      </w:r>
    </w:p>
    <w:p>
      <w:pPr>
        <w:spacing w:before="120" w:beforeLines="5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（六）比选报价明显偏高（即比选报价大于或等于通过资格审查的所有比选响应人算术平均报价的140％）； </w:t>
      </w:r>
    </w:p>
    <w:p>
      <w:pPr>
        <w:spacing w:before="120" w:beforeLines="5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（七）不符合比选文件及相关法律法规中规定的其它实质性要求。</w:t>
      </w:r>
    </w:p>
    <w:p>
      <w:pPr>
        <w:spacing w:before="120" w:beforeLines="5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如果比选响应文件存在上述重大偏差，比选人将予以拒绝或作为无效比选响应文件处理。递交比选响应文件后，比选响应人不得通过修正从而使其未完全响应文件成为实际上完全响应的比选响应文件。</w:t>
      </w:r>
    </w:p>
    <w:p>
      <w:pPr>
        <w:spacing w:before="120" w:beforeLines="50"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四、比选响应文件的详细评审</w:t>
      </w:r>
    </w:p>
    <w:p>
      <w:pPr>
        <w:spacing w:before="120" w:beforeLines="5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（一）评审组成员只能按以下确定的评分项目、内容、要求进行评分，不能另行列项，否则视为废票；</w:t>
      </w:r>
    </w:p>
    <w:p>
      <w:pPr>
        <w:spacing w:before="120" w:beforeLines="5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（二）评分由评审组成员在充分讨论、沟通的基础上，各自独立进行；</w:t>
      </w:r>
    </w:p>
    <w:p>
      <w:pPr>
        <w:spacing w:before="120" w:beforeLines="5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评分以记名方式进行；</w:t>
      </w:r>
    </w:p>
    <w:p>
      <w:pPr>
        <w:spacing w:before="120" w:beforeLines="5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（三）比选采用综合评分法。满分为100分。</w:t>
      </w:r>
    </w:p>
    <w:p>
      <w:pPr>
        <w:spacing w:before="120" w:beforeLines="50" w:line="560" w:lineRule="exact"/>
        <w:jc w:val="center"/>
        <w:rPr>
          <w:rFonts w:hint="default" w:ascii="Times New Roman" w:hAnsi="Times New Roman" w:eastAsia="仿宋_GB2312" w:cs="Times New Roman"/>
          <w:sz w:val="32"/>
          <w:szCs w:val="32"/>
        </w:rPr>
      </w:pPr>
      <w:bookmarkStart w:id="17" w:name="_Hlk1404446"/>
      <w:r>
        <w:rPr>
          <w:rFonts w:hint="default" w:ascii="Times New Roman" w:hAnsi="Times New Roman" w:eastAsia="仿宋_GB2312" w:cs="Times New Roman"/>
          <w:sz w:val="32"/>
          <w:szCs w:val="32"/>
          <w:highlight w:val="none"/>
        </w:rPr>
        <w:t>四川</w:t>
      </w:r>
      <w:r>
        <w:rPr>
          <w:rFonts w:hint="default" w:ascii="Times New Roman" w:hAnsi="Times New Roman" w:eastAsia="仿宋_GB2312" w:cs="Times New Roman"/>
          <w:sz w:val="32"/>
          <w:szCs w:val="32"/>
          <w:highlight w:val="none"/>
          <w:lang w:val="en-US" w:eastAsia="zh-CN"/>
        </w:rPr>
        <w:t>蜀道物流集团有限公司招聘</w:t>
      </w:r>
      <w:r>
        <w:rPr>
          <w:rFonts w:hint="default" w:ascii="Times New Roman" w:hAnsi="Times New Roman" w:eastAsia="仿宋_GB2312" w:cs="Times New Roman"/>
          <w:sz w:val="32"/>
          <w:szCs w:val="32"/>
        </w:rPr>
        <w:t>服务机构评估标准</w:t>
      </w:r>
      <w:bookmarkEnd w:id="17"/>
    </w:p>
    <w:tbl>
      <w:tblPr>
        <w:tblStyle w:val="11"/>
        <w:tblW w:w="8931" w:type="dxa"/>
        <w:tblInd w:w="-147" w:type="dxa"/>
        <w:tblLayout w:type="fixed"/>
        <w:tblCellMar>
          <w:top w:w="0" w:type="dxa"/>
          <w:left w:w="108" w:type="dxa"/>
          <w:bottom w:w="0" w:type="dxa"/>
          <w:right w:w="108" w:type="dxa"/>
        </w:tblCellMar>
      </w:tblPr>
      <w:tblGrid>
        <w:gridCol w:w="1243"/>
        <w:gridCol w:w="1048"/>
        <w:gridCol w:w="1210"/>
        <w:gridCol w:w="3675"/>
        <w:gridCol w:w="990"/>
        <w:gridCol w:w="765"/>
      </w:tblGrid>
      <w:tr>
        <w:tblPrEx>
          <w:tblCellMar>
            <w:top w:w="0" w:type="dxa"/>
            <w:left w:w="108" w:type="dxa"/>
            <w:bottom w:w="0" w:type="dxa"/>
            <w:right w:w="108" w:type="dxa"/>
          </w:tblCellMar>
        </w:tblPrEx>
        <w:trPr>
          <w:trHeight w:val="576" w:hRule="atLeast"/>
        </w:trPr>
        <w:tc>
          <w:tcPr>
            <w:tcW w:w="12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 w:cs="Times New Roman"/>
                <w:b/>
                <w:bCs/>
                <w:color w:val="000000"/>
                <w:kern w:val="0"/>
                <w:sz w:val="22"/>
                <w:szCs w:val="22"/>
              </w:rPr>
            </w:pPr>
            <w:r>
              <w:rPr>
                <w:rFonts w:hint="default" w:ascii="Times New Roman" w:hAnsi="Times New Roman" w:eastAsia="仿宋" w:cs="Times New Roman"/>
                <w:b/>
                <w:bCs/>
                <w:color w:val="000000"/>
                <w:kern w:val="0"/>
                <w:sz w:val="22"/>
                <w:szCs w:val="22"/>
              </w:rPr>
              <w:t>评分内容</w:t>
            </w:r>
          </w:p>
        </w:tc>
        <w:tc>
          <w:tcPr>
            <w:tcW w:w="104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 w:cs="Times New Roman"/>
                <w:b/>
                <w:bCs/>
                <w:color w:val="000000"/>
                <w:kern w:val="0"/>
                <w:sz w:val="22"/>
                <w:szCs w:val="22"/>
              </w:rPr>
            </w:pPr>
            <w:r>
              <w:rPr>
                <w:rFonts w:hint="default" w:ascii="Times New Roman" w:hAnsi="Times New Roman" w:eastAsia="仿宋" w:cs="Times New Roman"/>
                <w:b/>
                <w:bCs/>
                <w:color w:val="000000"/>
                <w:kern w:val="0"/>
                <w:sz w:val="22"/>
                <w:szCs w:val="22"/>
              </w:rPr>
              <w:t>序号</w:t>
            </w:r>
          </w:p>
        </w:tc>
        <w:tc>
          <w:tcPr>
            <w:tcW w:w="121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 w:cs="Times New Roman"/>
                <w:b/>
                <w:bCs/>
                <w:color w:val="000000"/>
                <w:kern w:val="0"/>
                <w:sz w:val="22"/>
                <w:szCs w:val="22"/>
              </w:rPr>
            </w:pPr>
            <w:r>
              <w:rPr>
                <w:rFonts w:hint="default" w:ascii="Times New Roman" w:hAnsi="Times New Roman" w:eastAsia="仿宋" w:cs="Times New Roman"/>
                <w:b/>
                <w:bCs/>
                <w:color w:val="000000"/>
                <w:kern w:val="0"/>
                <w:sz w:val="22"/>
                <w:szCs w:val="22"/>
              </w:rPr>
              <w:t>项目名称</w:t>
            </w:r>
          </w:p>
        </w:tc>
        <w:tc>
          <w:tcPr>
            <w:tcW w:w="36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b/>
                <w:bCs/>
                <w:color w:val="000000"/>
                <w:kern w:val="0"/>
                <w:sz w:val="22"/>
                <w:szCs w:val="22"/>
              </w:rPr>
            </w:pPr>
            <w:r>
              <w:rPr>
                <w:rFonts w:hint="default" w:ascii="Times New Roman" w:hAnsi="Times New Roman" w:eastAsia="仿宋" w:cs="Times New Roman"/>
                <w:b/>
                <w:bCs/>
                <w:color w:val="000000"/>
                <w:kern w:val="0"/>
                <w:sz w:val="22"/>
                <w:szCs w:val="22"/>
              </w:rPr>
              <w:t>评分依据</w:t>
            </w:r>
          </w:p>
        </w:tc>
        <w:tc>
          <w:tcPr>
            <w:tcW w:w="9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b/>
                <w:bCs/>
                <w:color w:val="000000"/>
                <w:kern w:val="0"/>
                <w:sz w:val="22"/>
                <w:szCs w:val="22"/>
              </w:rPr>
            </w:pPr>
            <w:r>
              <w:rPr>
                <w:rFonts w:hint="default" w:ascii="Times New Roman" w:hAnsi="Times New Roman" w:eastAsia="仿宋" w:cs="Times New Roman"/>
                <w:b/>
                <w:bCs/>
                <w:color w:val="000000"/>
                <w:kern w:val="0"/>
                <w:sz w:val="22"/>
                <w:szCs w:val="22"/>
              </w:rPr>
              <w:t>分值</w:t>
            </w:r>
          </w:p>
        </w:tc>
        <w:tc>
          <w:tcPr>
            <w:tcW w:w="76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 w:cs="Times New Roman"/>
                <w:b/>
                <w:bCs/>
                <w:color w:val="000000"/>
                <w:kern w:val="0"/>
                <w:sz w:val="22"/>
                <w:szCs w:val="22"/>
              </w:rPr>
            </w:pPr>
            <w:r>
              <w:rPr>
                <w:rFonts w:hint="default" w:ascii="Times New Roman" w:hAnsi="Times New Roman" w:eastAsia="仿宋" w:cs="Times New Roman"/>
                <w:b/>
                <w:bCs/>
                <w:color w:val="000000"/>
                <w:kern w:val="0"/>
                <w:sz w:val="22"/>
                <w:szCs w:val="22"/>
              </w:rPr>
              <w:t>评分</w:t>
            </w:r>
          </w:p>
        </w:tc>
      </w:tr>
      <w:tr>
        <w:tblPrEx>
          <w:tblCellMar>
            <w:top w:w="0" w:type="dxa"/>
            <w:left w:w="108" w:type="dxa"/>
            <w:bottom w:w="0" w:type="dxa"/>
            <w:right w:w="108" w:type="dxa"/>
          </w:tblCellMar>
        </w:tblPrEx>
        <w:trPr>
          <w:trHeight w:val="381" w:hRule="atLeast"/>
        </w:trPr>
        <w:tc>
          <w:tcPr>
            <w:tcW w:w="124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color w:val="000000"/>
                <w:kern w:val="0"/>
                <w:sz w:val="22"/>
                <w:szCs w:val="22"/>
              </w:rPr>
            </w:pPr>
            <w:r>
              <w:rPr>
                <w:rFonts w:hint="default" w:ascii="Times New Roman" w:hAnsi="Times New Roman" w:eastAsia="仿宋" w:cs="Times New Roman"/>
                <w:color w:val="000000"/>
                <w:kern w:val="0"/>
                <w:sz w:val="22"/>
                <w:szCs w:val="22"/>
              </w:rPr>
              <w:t>综合评分</w:t>
            </w:r>
          </w:p>
        </w:tc>
        <w:tc>
          <w:tcPr>
            <w:tcW w:w="104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color w:val="000000"/>
                <w:kern w:val="0"/>
                <w:sz w:val="22"/>
                <w:szCs w:val="22"/>
              </w:rPr>
            </w:pPr>
            <w:r>
              <w:rPr>
                <w:rFonts w:hint="default" w:ascii="Times New Roman" w:hAnsi="Times New Roman" w:eastAsia="仿宋" w:cs="Times New Roman"/>
                <w:color w:val="000000"/>
                <w:kern w:val="0"/>
                <w:sz w:val="22"/>
                <w:szCs w:val="22"/>
              </w:rPr>
              <w:t>1、质量（65分）</w:t>
            </w:r>
          </w:p>
        </w:tc>
        <w:tc>
          <w:tcPr>
            <w:tcW w:w="121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color w:val="000000"/>
                <w:kern w:val="0"/>
                <w:sz w:val="22"/>
                <w:szCs w:val="22"/>
              </w:rPr>
            </w:pPr>
            <w:r>
              <w:rPr>
                <w:rFonts w:hint="default" w:ascii="Times New Roman" w:hAnsi="Times New Roman" w:eastAsia="仿宋" w:cs="Times New Roman"/>
                <w:color w:val="000000"/>
                <w:kern w:val="0"/>
                <w:sz w:val="22"/>
                <w:szCs w:val="22"/>
              </w:rPr>
              <w:t>质量控制水平</w:t>
            </w:r>
          </w:p>
        </w:tc>
        <w:tc>
          <w:tcPr>
            <w:tcW w:w="3675"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 w:cs="Times New Roman"/>
                <w:b/>
                <w:bCs/>
                <w:color w:val="000000"/>
                <w:kern w:val="0"/>
                <w:sz w:val="22"/>
                <w:szCs w:val="22"/>
              </w:rPr>
            </w:pPr>
            <w:r>
              <w:rPr>
                <w:rFonts w:hint="default" w:ascii="Times New Roman" w:hAnsi="Times New Roman" w:eastAsia="仿宋" w:cs="Times New Roman"/>
                <w:b/>
                <w:bCs/>
                <w:color w:val="000000"/>
                <w:kern w:val="0"/>
                <w:sz w:val="22"/>
                <w:szCs w:val="22"/>
              </w:rPr>
              <w:t>1、项目服务经验</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b/>
                <w:bCs/>
                <w:color w:val="000000"/>
                <w:kern w:val="0"/>
                <w:sz w:val="22"/>
                <w:szCs w:val="22"/>
              </w:rPr>
            </w:pPr>
            <w:r>
              <w:rPr>
                <w:rFonts w:hint="default" w:ascii="Times New Roman" w:hAnsi="Times New Roman" w:eastAsia="仿宋" w:cs="Times New Roman"/>
                <w:b/>
                <w:bCs/>
                <w:color w:val="000000"/>
                <w:kern w:val="0"/>
                <w:sz w:val="22"/>
                <w:szCs w:val="22"/>
              </w:rPr>
              <w:t>15</w:t>
            </w:r>
          </w:p>
        </w:tc>
        <w:tc>
          <w:tcPr>
            <w:tcW w:w="765"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 w:cs="Times New Roman"/>
                <w:color w:val="000000"/>
                <w:kern w:val="0"/>
                <w:sz w:val="22"/>
                <w:szCs w:val="22"/>
              </w:rPr>
            </w:pPr>
            <w:r>
              <w:rPr>
                <w:rFonts w:hint="default" w:ascii="Times New Roman" w:hAnsi="Times New Roman" w:eastAsia="仿宋" w:cs="Times New Roman"/>
                <w:color w:val="000000"/>
                <w:kern w:val="0"/>
                <w:sz w:val="22"/>
                <w:szCs w:val="22"/>
              </w:rPr>
              <w:t>　</w:t>
            </w:r>
          </w:p>
        </w:tc>
      </w:tr>
      <w:tr>
        <w:tblPrEx>
          <w:tblCellMar>
            <w:top w:w="0" w:type="dxa"/>
            <w:left w:w="108" w:type="dxa"/>
            <w:bottom w:w="0" w:type="dxa"/>
            <w:right w:w="108" w:type="dxa"/>
          </w:tblCellMar>
        </w:tblPrEx>
        <w:trPr>
          <w:trHeight w:val="1073" w:hRule="atLeast"/>
        </w:trPr>
        <w:tc>
          <w:tcPr>
            <w:tcW w:w="1243"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22"/>
                <w:szCs w:val="22"/>
              </w:rPr>
            </w:pPr>
          </w:p>
        </w:tc>
        <w:tc>
          <w:tcPr>
            <w:tcW w:w="1048"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22"/>
                <w:szCs w:val="22"/>
              </w:rPr>
            </w:pPr>
          </w:p>
        </w:tc>
        <w:tc>
          <w:tcPr>
            <w:tcW w:w="1210"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22"/>
                <w:szCs w:val="22"/>
              </w:rPr>
            </w:pPr>
          </w:p>
        </w:tc>
        <w:tc>
          <w:tcPr>
            <w:tcW w:w="3675" w:type="dxa"/>
            <w:tcBorders>
              <w:top w:val="nil"/>
              <w:left w:val="nil"/>
              <w:bottom w:val="single" w:color="auto" w:sz="4" w:space="0"/>
              <w:right w:val="single" w:color="auto" w:sz="4" w:space="0"/>
            </w:tcBorders>
            <w:shd w:val="clear" w:color="auto" w:fill="auto"/>
            <w:vAlign w:val="center"/>
          </w:tcPr>
          <w:p>
            <w:pPr>
              <w:widowControl/>
              <w:rPr>
                <w:rFonts w:hint="default" w:ascii="Times New Roman" w:hAnsi="Times New Roman" w:eastAsia="仿宋" w:cs="Times New Roman"/>
                <w:color w:val="000000"/>
                <w:kern w:val="0"/>
                <w:sz w:val="22"/>
                <w:szCs w:val="22"/>
              </w:rPr>
            </w:pPr>
            <w:r>
              <w:rPr>
                <w:rFonts w:hint="default" w:ascii="Times New Roman" w:hAnsi="Times New Roman" w:eastAsia="仿宋" w:cs="Times New Roman"/>
                <w:color w:val="000000"/>
                <w:kern w:val="0"/>
                <w:sz w:val="22"/>
                <w:szCs w:val="22"/>
              </w:rPr>
              <w:t>满足文件要求得3分，每增加一个</w:t>
            </w:r>
            <w:r>
              <w:rPr>
                <w:rFonts w:hint="default" w:ascii="Times New Roman" w:hAnsi="Times New Roman" w:eastAsia="仿宋" w:cs="Times New Roman"/>
                <w:color w:val="000000"/>
                <w:kern w:val="0"/>
                <w:sz w:val="22"/>
                <w:szCs w:val="22"/>
                <w:lang w:val="en-US" w:eastAsia="zh-CN"/>
              </w:rPr>
              <w:t>国有企业招聘服务</w:t>
            </w:r>
            <w:r>
              <w:rPr>
                <w:rFonts w:hint="default" w:ascii="Times New Roman" w:hAnsi="Times New Roman" w:eastAsia="仿宋" w:cs="Times New Roman"/>
                <w:color w:val="000000"/>
                <w:kern w:val="0"/>
                <w:sz w:val="22"/>
                <w:szCs w:val="22"/>
              </w:rPr>
              <w:t>项目加</w:t>
            </w:r>
            <w:r>
              <w:rPr>
                <w:rFonts w:hint="default" w:ascii="Times New Roman" w:hAnsi="Times New Roman" w:eastAsia="仿宋" w:cs="Times New Roman"/>
                <w:color w:val="000000"/>
                <w:kern w:val="0"/>
                <w:sz w:val="22"/>
                <w:szCs w:val="22"/>
                <w:lang w:val="en-US" w:eastAsia="zh-CN"/>
              </w:rPr>
              <w:t>3</w:t>
            </w:r>
            <w:r>
              <w:rPr>
                <w:rFonts w:hint="default" w:ascii="Times New Roman" w:hAnsi="Times New Roman" w:eastAsia="仿宋" w:cs="Times New Roman"/>
                <w:color w:val="000000"/>
                <w:kern w:val="0"/>
                <w:sz w:val="22"/>
                <w:szCs w:val="22"/>
              </w:rPr>
              <w:t>分，此项最高得15分。</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color w:val="000000"/>
                <w:kern w:val="0"/>
                <w:sz w:val="22"/>
                <w:szCs w:val="22"/>
              </w:rPr>
            </w:pPr>
            <w:r>
              <w:rPr>
                <w:rFonts w:hint="default" w:ascii="Times New Roman" w:hAnsi="Times New Roman" w:eastAsia="仿宋" w:cs="Times New Roman"/>
                <w:color w:val="000000"/>
                <w:kern w:val="0"/>
                <w:sz w:val="22"/>
                <w:szCs w:val="22"/>
              </w:rPr>
              <w:t>15</w:t>
            </w:r>
          </w:p>
        </w:tc>
        <w:tc>
          <w:tcPr>
            <w:tcW w:w="765"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 w:cs="Times New Roman"/>
                <w:color w:val="000000"/>
                <w:kern w:val="0"/>
                <w:sz w:val="22"/>
                <w:szCs w:val="22"/>
              </w:rPr>
            </w:pPr>
            <w:r>
              <w:rPr>
                <w:rFonts w:hint="default" w:ascii="Times New Roman" w:hAnsi="Times New Roman" w:eastAsia="仿宋" w:cs="Times New Roman"/>
                <w:color w:val="000000"/>
                <w:kern w:val="0"/>
                <w:sz w:val="22"/>
                <w:szCs w:val="22"/>
              </w:rPr>
              <w:t>　</w:t>
            </w:r>
          </w:p>
        </w:tc>
      </w:tr>
      <w:tr>
        <w:tblPrEx>
          <w:tblCellMar>
            <w:top w:w="0" w:type="dxa"/>
            <w:left w:w="108" w:type="dxa"/>
            <w:bottom w:w="0" w:type="dxa"/>
            <w:right w:w="108" w:type="dxa"/>
          </w:tblCellMar>
        </w:tblPrEx>
        <w:trPr>
          <w:trHeight w:val="288" w:hRule="atLeast"/>
        </w:trPr>
        <w:tc>
          <w:tcPr>
            <w:tcW w:w="1243"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22"/>
                <w:szCs w:val="22"/>
              </w:rPr>
            </w:pPr>
          </w:p>
        </w:tc>
        <w:tc>
          <w:tcPr>
            <w:tcW w:w="1048"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22"/>
                <w:szCs w:val="22"/>
              </w:rPr>
            </w:pPr>
          </w:p>
        </w:tc>
        <w:tc>
          <w:tcPr>
            <w:tcW w:w="1210"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22"/>
                <w:szCs w:val="22"/>
              </w:rPr>
            </w:pPr>
          </w:p>
        </w:tc>
        <w:tc>
          <w:tcPr>
            <w:tcW w:w="3675"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 w:cs="Times New Roman"/>
                <w:b/>
                <w:bCs/>
                <w:color w:val="000000"/>
                <w:kern w:val="0"/>
                <w:sz w:val="22"/>
                <w:szCs w:val="22"/>
              </w:rPr>
            </w:pPr>
            <w:r>
              <w:rPr>
                <w:rFonts w:hint="default" w:ascii="Times New Roman" w:hAnsi="Times New Roman" w:eastAsia="仿宋" w:cs="Times New Roman"/>
                <w:b/>
                <w:bCs/>
                <w:color w:val="000000"/>
                <w:kern w:val="0"/>
                <w:sz w:val="22"/>
                <w:szCs w:val="22"/>
              </w:rPr>
              <w:t>2、项目现场负责人从业经验</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b/>
                <w:bCs/>
                <w:color w:val="000000"/>
                <w:kern w:val="0"/>
                <w:sz w:val="22"/>
                <w:szCs w:val="22"/>
              </w:rPr>
            </w:pPr>
            <w:r>
              <w:rPr>
                <w:rFonts w:hint="default" w:ascii="Times New Roman" w:hAnsi="Times New Roman" w:eastAsia="仿宋" w:cs="Times New Roman"/>
                <w:b/>
                <w:bCs/>
                <w:color w:val="000000"/>
                <w:kern w:val="0"/>
                <w:sz w:val="22"/>
                <w:szCs w:val="22"/>
              </w:rPr>
              <w:t>15</w:t>
            </w:r>
          </w:p>
        </w:tc>
        <w:tc>
          <w:tcPr>
            <w:tcW w:w="765"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 w:cs="Times New Roman"/>
                <w:color w:val="000000"/>
                <w:kern w:val="0"/>
                <w:sz w:val="22"/>
                <w:szCs w:val="22"/>
              </w:rPr>
            </w:pPr>
            <w:r>
              <w:rPr>
                <w:rFonts w:hint="default" w:ascii="Times New Roman" w:hAnsi="Times New Roman" w:eastAsia="仿宋" w:cs="Times New Roman"/>
                <w:color w:val="000000"/>
                <w:kern w:val="0"/>
                <w:sz w:val="22"/>
                <w:szCs w:val="22"/>
              </w:rPr>
              <w:t>　</w:t>
            </w:r>
          </w:p>
        </w:tc>
      </w:tr>
      <w:tr>
        <w:tblPrEx>
          <w:tblCellMar>
            <w:top w:w="0" w:type="dxa"/>
            <w:left w:w="108" w:type="dxa"/>
            <w:bottom w:w="0" w:type="dxa"/>
            <w:right w:w="108" w:type="dxa"/>
          </w:tblCellMar>
        </w:tblPrEx>
        <w:trPr>
          <w:trHeight w:val="288" w:hRule="atLeast"/>
        </w:trPr>
        <w:tc>
          <w:tcPr>
            <w:tcW w:w="1243"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22"/>
                <w:szCs w:val="22"/>
              </w:rPr>
            </w:pPr>
          </w:p>
        </w:tc>
        <w:tc>
          <w:tcPr>
            <w:tcW w:w="1048"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22"/>
                <w:szCs w:val="22"/>
              </w:rPr>
            </w:pPr>
          </w:p>
        </w:tc>
        <w:tc>
          <w:tcPr>
            <w:tcW w:w="1210"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22"/>
                <w:szCs w:val="22"/>
              </w:rPr>
            </w:pPr>
          </w:p>
        </w:tc>
        <w:tc>
          <w:tcPr>
            <w:tcW w:w="3675"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 w:cs="Times New Roman"/>
                <w:color w:val="000000"/>
                <w:kern w:val="0"/>
                <w:sz w:val="22"/>
                <w:szCs w:val="22"/>
              </w:rPr>
            </w:pPr>
            <w:r>
              <w:rPr>
                <w:rFonts w:hint="default" w:ascii="Times New Roman" w:hAnsi="Times New Roman" w:eastAsia="仿宋" w:cs="Times New Roman"/>
                <w:color w:val="000000"/>
                <w:kern w:val="0"/>
                <w:sz w:val="22"/>
                <w:szCs w:val="22"/>
              </w:rPr>
              <w:t>在1个四川省国有企业</w:t>
            </w:r>
            <w:r>
              <w:rPr>
                <w:rFonts w:hint="default" w:ascii="Times New Roman" w:hAnsi="Times New Roman" w:eastAsia="仿宋" w:cs="Times New Roman"/>
                <w:color w:val="000000"/>
                <w:kern w:val="0"/>
                <w:sz w:val="22"/>
                <w:szCs w:val="22"/>
                <w:lang w:val="en-US" w:eastAsia="zh-CN"/>
              </w:rPr>
              <w:t>招聘服务</w:t>
            </w:r>
            <w:r>
              <w:rPr>
                <w:rFonts w:hint="default" w:ascii="Times New Roman" w:hAnsi="Times New Roman" w:eastAsia="仿宋" w:cs="Times New Roman"/>
                <w:color w:val="000000"/>
                <w:kern w:val="0"/>
                <w:sz w:val="22"/>
                <w:szCs w:val="22"/>
              </w:rPr>
              <w:t>项目中担任过项目负责人得3分，每增加一个类似业绩加</w:t>
            </w:r>
            <w:r>
              <w:rPr>
                <w:rFonts w:hint="default" w:ascii="Times New Roman" w:hAnsi="Times New Roman" w:eastAsia="仿宋" w:cs="Times New Roman"/>
                <w:color w:val="000000"/>
                <w:kern w:val="0"/>
                <w:sz w:val="22"/>
                <w:szCs w:val="22"/>
                <w:lang w:val="en-US" w:eastAsia="zh-CN"/>
              </w:rPr>
              <w:t>3</w:t>
            </w:r>
            <w:r>
              <w:rPr>
                <w:rFonts w:hint="default" w:ascii="Times New Roman" w:hAnsi="Times New Roman" w:eastAsia="仿宋" w:cs="Times New Roman"/>
                <w:color w:val="000000"/>
                <w:kern w:val="0"/>
                <w:sz w:val="22"/>
                <w:szCs w:val="22"/>
              </w:rPr>
              <w:t>分，此项最高得15分。</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color w:val="000000"/>
                <w:kern w:val="0"/>
                <w:sz w:val="22"/>
                <w:szCs w:val="22"/>
              </w:rPr>
            </w:pPr>
            <w:r>
              <w:rPr>
                <w:rFonts w:hint="default" w:ascii="Times New Roman" w:hAnsi="Times New Roman" w:eastAsia="仿宋" w:cs="Times New Roman"/>
                <w:color w:val="000000"/>
                <w:kern w:val="0"/>
                <w:sz w:val="22"/>
                <w:szCs w:val="22"/>
              </w:rPr>
              <w:t>15</w:t>
            </w:r>
          </w:p>
        </w:tc>
        <w:tc>
          <w:tcPr>
            <w:tcW w:w="765"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 w:cs="Times New Roman"/>
                <w:color w:val="000000"/>
                <w:kern w:val="0"/>
                <w:sz w:val="22"/>
                <w:szCs w:val="22"/>
              </w:rPr>
            </w:pPr>
            <w:r>
              <w:rPr>
                <w:rFonts w:hint="default" w:ascii="Times New Roman" w:hAnsi="Times New Roman" w:eastAsia="仿宋" w:cs="Times New Roman"/>
                <w:color w:val="000000"/>
                <w:kern w:val="0"/>
                <w:sz w:val="22"/>
                <w:szCs w:val="22"/>
              </w:rPr>
              <w:t>　</w:t>
            </w:r>
          </w:p>
        </w:tc>
      </w:tr>
      <w:tr>
        <w:tblPrEx>
          <w:tblCellMar>
            <w:top w:w="0" w:type="dxa"/>
            <w:left w:w="108" w:type="dxa"/>
            <w:bottom w:w="0" w:type="dxa"/>
            <w:right w:w="108" w:type="dxa"/>
          </w:tblCellMar>
        </w:tblPrEx>
        <w:trPr>
          <w:trHeight w:val="312" w:hRule="atLeast"/>
        </w:trPr>
        <w:tc>
          <w:tcPr>
            <w:tcW w:w="1243"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22"/>
                <w:szCs w:val="22"/>
              </w:rPr>
            </w:pPr>
          </w:p>
        </w:tc>
        <w:tc>
          <w:tcPr>
            <w:tcW w:w="1048"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22"/>
                <w:szCs w:val="22"/>
              </w:rPr>
            </w:pPr>
          </w:p>
        </w:tc>
        <w:tc>
          <w:tcPr>
            <w:tcW w:w="1210"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22"/>
                <w:szCs w:val="22"/>
              </w:rPr>
            </w:pPr>
          </w:p>
        </w:tc>
        <w:tc>
          <w:tcPr>
            <w:tcW w:w="3675" w:type="dxa"/>
            <w:tcBorders>
              <w:top w:val="nil"/>
              <w:left w:val="nil"/>
              <w:bottom w:val="single" w:color="auto" w:sz="4" w:space="0"/>
              <w:right w:val="single" w:color="auto" w:sz="4" w:space="0"/>
            </w:tcBorders>
            <w:shd w:val="clear" w:color="auto" w:fill="auto"/>
            <w:vAlign w:val="center"/>
          </w:tcPr>
          <w:p>
            <w:pPr>
              <w:widowControl/>
              <w:rPr>
                <w:rFonts w:hint="default" w:ascii="Times New Roman" w:hAnsi="Times New Roman" w:eastAsia="仿宋" w:cs="Times New Roman"/>
                <w:b/>
                <w:bCs/>
                <w:color w:val="000000"/>
                <w:kern w:val="0"/>
                <w:sz w:val="22"/>
                <w:szCs w:val="22"/>
              </w:rPr>
            </w:pPr>
            <w:r>
              <w:rPr>
                <w:rFonts w:hint="default" w:ascii="Times New Roman" w:hAnsi="Times New Roman" w:eastAsia="仿宋" w:cs="Times New Roman"/>
                <w:b/>
                <w:bCs/>
                <w:color w:val="000000"/>
                <w:kern w:val="0"/>
                <w:sz w:val="22"/>
                <w:szCs w:val="22"/>
                <w:lang w:val="en-US" w:eastAsia="zh-CN"/>
              </w:rPr>
              <w:t>3</w:t>
            </w:r>
            <w:r>
              <w:rPr>
                <w:rFonts w:hint="default" w:ascii="Times New Roman" w:hAnsi="Times New Roman" w:eastAsia="仿宋" w:cs="Times New Roman"/>
                <w:b/>
                <w:bCs/>
                <w:color w:val="000000"/>
                <w:kern w:val="0"/>
                <w:sz w:val="22"/>
                <w:szCs w:val="22"/>
              </w:rPr>
              <w:t>、</w:t>
            </w:r>
            <w:r>
              <w:rPr>
                <w:rFonts w:hint="default" w:ascii="Times New Roman" w:hAnsi="Times New Roman" w:eastAsia="仿宋" w:cs="Times New Roman"/>
                <w:b/>
                <w:bCs/>
                <w:color w:val="000000"/>
                <w:kern w:val="0"/>
                <w:sz w:val="22"/>
                <w:szCs w:val="22"/>
                <w:lang w:val="en-US" w:eastAsia="zh-CN"/>
              </w:rPr>
              <w:t>招聘</w:t>
            </w:r>
            <w:r>
              <w:rPr>
                <w:rFonts w:hint="default" w:ascii="Times New Roman" w:hAnsi="Times New Roman" w:eastAsia="仿宋" w:cs="Times New Roman"/>
                <w:b/>
                <w:bCs/>
                <w:color w:val="000000"/>
                <w:kern w:val="0"/>
                <w:sz w:val="22"/>
                <w:szCs w:val="22"/>
              </w:rPr>
              <w:t>服务方案</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b/>
                <w:bCs/>
                <w:color w:val="000000"/>
                <w:kern w:val="0"/>
                <w:sz w:val="22"/>
                <w:szCs w:val="22"/>
                <w:lang w:eastAsia="zh-CN"/>
              </w:rPr>
            </w:pPr>
            <w:r>
              <w:rPr>
                <w:rFonts w:hint="default" w:ascii="Times New Roman" w:hAnsi="Times New Roman" w:eastAsia="仿宋" w:cs="Times New Roman"/>
                <w:b/>
                <w:bCs/>
                <w:color w:val="000000"/>
                <w:kern w:val="0"/>
                <w:sz w:val="22"/>
                <w:szCs w:val="22"/>
              </w:rPr>
              <w:t>3</w:t>
            </w:r>
            <w:r>
              <w:rPr>
                <w:rFonts w:hint="default" w:ascii="Times New Roman" w:hAnsi="Times New Roman" w:eastAsia="仿宋" w:cs="Times New Roman"/>
                <w:b/>
                <w:bCs/>
                <w:color w:val="000000"/>
                <w:kern w:val="0"/>
                <w:sz w:val="22"/>
                <w:szCs w:val="22"/>
                <w:lang w:val="en-US" w:eastAsia="zh-CN"/>
              </w:rPr>
              <w:t>5</w:t>
            </w:r>
          </w:p>
        </w:tc>
        <w:tc>
          <w:tcPr>
            <w:tcW w:w="765"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 w:cs="Times New Roman"/>
                <w:color w:val="000000"/>
                <w:kern w:val="0"/>
                <w:sz w:val="22"/>
                <w:szCs w:val="22"/>
              </w:rPr>
            </w:pPr>
            <w:r>
              <w:rPr>
                <w:rFonts w:hint="default" w:ascii="Times New Roman" w:hAnsi="Times New Roman" w:eastAsia="仿宋" w:cs="Times New Roman"/>
                <w:color w:val="000000"/>
                <w:kern w:val="0"/>
                <w:sz w:val="22"/>
                <w:szCs w:val="22"/>
              </w:rPr>
              <w:t>　</w:t>
            </w:r>
          </w:p>
        </w:tc>
      </w:tr>
      <w:tr>
        <w:tblPrEx>
          <w:tblCellMar>
            <w:top w:w="0" w:type="dxa"/>
            <w:left w:w="108" w:type="dxa"/>
            <w:bottom w:w="0" w:type="dxa"/>
            <w:right w:w="108" w:type="dxa"/>
          </w:tblCellMar>
        </w:tblPrEx>
        <w:trPr>
          <w:trHeight w:val="312" w:hRule="atLeast"/>
        </w:trPr>
        <w:tc>
          <w:tcPr>
            <w:tcW w:w="1243"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22"/>
                <w:szCs w:val="22"/>
              </w:rPr>
            </w:pPr>
          </w:p>
        </w:tc>
        <w:tc>
          <w:tcPr>
            <w:tcW w:w="1048"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22"/>
                <w:szCs w:val="22"/>
              </w:rPr>
            </w:pPr>
          </w:p>
        </w:tc>
        <w:tc>
          <w:tcPr>
            <w:tcW w:w="1210"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22"/>
                <w:szCs w:val="22"/>
              </w:rPr>
            </w:pPr>
          </w:p>
        </w:tc>
        <w:tc>
          <w:tcPr>
            <w:tcW w:w="3675" w:type="dxa"/>
            <w:tcBorders>
              <w:top w:val="nil"/>
              <w:left w:val="nil"/>
              <w:bottom w:val="single" w:color="auto" w:sz="4" w:space="0"/>
              <w:right w:val="single" w:color="auto" w:sz="4" w:space="0"/>
            </w:tcBorders>
            <w:shd w:val="clear" w:color="auto" w:fill="auto"/>
            <w:vAlign w:val="center"/>
          </w:tcPr>
          <w:p>
            <w:pPr>
              <w:widowControl/>
              <w:numPr>
                <w:ilvl w:val="0"/>
                <w:numId w:val="1"/>
              </w:numPr>
              <w:rPr>
                <w:rFonts w:hint="default" w:ascii="Times New Roman" w:hAnsi="Times New Roman" w:eastAsia="仿宋" w:cs="Times New Roman"/>
                <w:color w:val="000000"/>
                <w:kern w:val="0"/>
                <w:sz w:val="22"/>
                <w:szCs w:val="22"/>
              </w:rPr>
            </w:pPr>
            <w:r>
              <w:rPr>
                <w:rFonts w:hint="default" w:ascii="Times New Roman" w:hAnsi="Times New Roman" w:eastAsia="仿宋" w:cs="Times New Roman"/>
                <w:color w:val="000000"/>
                <w:kern w:val="0"/>
                <w:sz w:val="22"/>
                <w:szCs w:val="22"/>
              </w:rPr>
              <w:t>方案整体思路清晰、切合需求；方案设想合理、创新性强、测算项目全面；方案可操作性强、落地实施容易；承诺提供项目本身的日常服务并满足与项目相关的临时性、突发性需求服务</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color w:val="000000"/>
                <w:kern w:val="0"/>
                <w:sz w:val="22"/>
                <w:szCs w:val="22"/>
                <w:lang w:eastAsia="zh-CN"/>
              </w:rPr>
            </w:pPr>
            <w:r>
              <w:rPr>
                <w:rFonts w:hint="default" w:ascii="Times New Roman" w:hAnsi="Times New Roman" w:eastAsia="仿宋" w:cs="Times New Roman"/>
                <w:color w:val="000000"/>
                <w:kern w:val="0"/>
                <w:sz w:val="22"/>
                <w:szCs w:val="22"/>
              </w:rPr>
              <w:t>21-3</w:t>
            </w:r>
            <w:r>
              <w:rPr>
                <w:rFonts w:hint="default" w:ascii="Times New Roman" w:hAnsi="Times New Roman" w:eastAsia="仿宋" w:cs="Times New Roman"/>
                <w:color w:val="000000"/>
                <w:kern w:val="0"/>
                <w:sz w:val="22"/>
                <w:szCs w:val="22"/>
                <w:lang w:val="en-US" w:eastAsia="zh-CN"/>
              </w:rPr>
              <w:t>5</w:t>
            </w:r>
          </w:p>
        </w:tc>
        <w:tc>
          <w:tcPr>
            <w:tcW w:w="765"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 w:cs="Times New Roman"/>
                <w:color w:val="000000"/>
                <w:kern w:val="0"/>
                <w:sz w:val="22"/>
                <w:szCs w:val="22"/>
              </w:rPr>
            </w:pPr>
            <w:r>
              <w:rPr>
                <w:rFonts w:hint="default" w:ascii="Times New Roman" w:hAnsi="Times New Roman" w:eastAsia="仿宋" w:cs="Times New Roman"/>
                <w:color w:val="000000"/>
                <w:kern w:val="0"/>
                <w:sz w:val="22"/>
                <w:szCs w:val="22"/>
              </w:rPr>
              <w:t>　</w:t>
            </w:r>
          </w:p>
        </w:tc>
      </w:tr>
      <w:tr>
        <w:tblPrEx>
          <w:tblCellMar>
            <w:top w:w="0" w:type="dxa"/>
            <w:left w:w="108" w:type="dxa"/>
            <w:bottom w:w="0" w:type="dxa"/>
            <w:right w:w="108" w:type="dxa"/>
          </w:tblCellMar>
        </w:tblPrEx>
        <w:trPr>
          <w:trHeight w:val="312" w:hRule="atLeast"/>
        </w:trPr>
        <w:tc>
          <w:tcPr>
            <w:tcW w:w="1243"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22"/>
                <w:szCs w:val="22"/>
              </w:rPr>
            </w:pPr>
          </w:p>
        </w:tc>
        <w:tc>
          <w:tcPr>
            <w:tcW w:w="1048"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22"/>
                <w:szCs w:val="22"/>
              </w:rPr>
            </w:pPr>
          </w:p>
        </w:tc>
        <w:tc>
          <w:tcPr>
            <w:tcW w:w="1210"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22"/>
                <w:szCs w:val="22"/>
              </w:rPr>
            </w:pPr>
          </w:p>
        </w:tc>
        <w:tc>
          <w:tcPr>
            <w:tcW w:w="3675" w:type="dxa"/>
            <w:tcBorders>
              <w:top w:val="nil"/>
              <w:left w:val="nil"/>
              <w:bottom w:val="single" w:color="auto" w:sz="4" w:space="0"/>
              <w:right w:val="single" w:color="auto" w:sz="4" w:space="0"/>
            </w:tcBorders>
            <w:shd w:val="clear" w:color="auto" w:fill="auto"/>
            <w:vAlign w:val="center"/>
          </w:tcPr>
          <w:p>
            <w:pPr>
              <w:widowControl/>
              <w:rPr>
                <w:rFonts w:hint="default" w:ascii="Times New Roman" w:hAnsi="Times New Roman" w:eastAsia="仿宋" w:cs="Times New Roman"/>
                <w:color w:val="000000"/>
                <w:kern w:val="0"/>
                <w:sz w:val="22"/>
                <w:szCs w:val="22"/>
              </w:rPr>
            </w:pPr>
            <w:r>
              <w:rPr>
                <w:rFonts w:hint="default" w:ascii="Times New Roman" w:hAnsi="Times New Roman" w:eastAsia="仿宋" w:cs="Times New Roman"/>
                <w:color w:val="000000"/>
                <w:kern w:val="0"/>
                <w:sz w:val="22"/>
                <w:szCs w:val="22"/>
              </w:rPr>
              <w:t>（2）方案整体思路较清晰、基本切合需求；方案设想较为合理、创新性较强、测算项目较全面；方案可操作性较强、落地实施较容易；承诺提供项目本身的日常服务并满足部分与项目相关的临时性、突发性需求服务，保证24小时内及时响应</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color w:val="000000"/>
                <w:kern w:val="0"/>
                <w:sz w:val="22"/>
                <w:szCs w:val="22"/>
              </w:rPr>
            </w:pPr>
            <w:r>
              <w:rPr>
                <w:rFonts w:hint="default" w:ascii="Times New Roman" w:hAnsi="Times New Roman" w:eastAsia="仿宋" w:cs="Times New Roman"/>
                <w:color w:val="000000"/>
                <w:kern w:val="0"/>
                <w:sz w:val="22"/>
                <w:szCs w:val="22"/>
              </w:rPr>
              <w:t>11-20</w:t>
            </w:r>
          </w:p>
        </w:tc>
        <w:tc>
          <w:tcPr>
            <w:tcW w:w="765"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 w:cs="Times New Roman"/>
                <w:color w:val="000000"/>
                <w:kern w:val="0"/>
                <w:sz w:val="22"/>
                <w:szCs w:val="22"/>
              </w:rPr>
            </w:pPr>
            <w:r>
              <w:rPr>
                <w:rFonts w:hint="default" w:ascii="Times New Roman" w:hAnsi="Times New Roman" w:eastAsia="仿宋" w:cs="Times New Roman"/>
                <w:color w:val="000000"/>
                <w:kern w:val="0"/>
                <w:sz w:val="22"/>
                <w:szCs w:val="22"/>
              </w:rPr>
              <w:t>　</w:t>
            </w:r>
          </w:p>
        </w:tc>
      </w:tr>
      <w:tr>
        <w:tblPrEx>
          <w:tblCellMar>
            <w:top w:w="0" w:type="dxa"/>
            <w:left w:w="108" w:type="dxa"/>
            <w:bottom w:w="0" w:type="dxa"/>
            <w:right w:w="108" w:type="dxa"/>
          </w:tblCellMar>
        </w:tblPrEx>
        <w:trPr>
          <w:trHeight w:val="312" w:hRule="atLeast"/>
        </w:trPr>
        <w:tc>
          <w:tcPr>
            <w:tcW w:w="1243"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22"/>
                <w:szCs w:val="22"/>
              </w:rPr>
            </w:pPr>
          </w:p>
        </w:tc>
        <w:tc>
          <w:tcPr>
            <w:tcW w:w="1048"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22"/>
                <w:szCs w:val="22"/>
              </w:rPr>
            </w:pPr>
          </w:p>
        </w:tc>
        <w:tc>
          <w:tcPr>
            <w:tcW w:w="1210"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22"/>
                <w:szCs w:val="22"/>
              </w:rPr>
            </w:pPr>
          </w:p>
        </w:tc>
        <w:tc>
          <w:tcPr>
            <w:tcW w:w="3675" w:type="dxa"/>
            <w:tcBorders>
              <w:top w:val="nil"/>
              <w:left w:val="nil"/>
              <w:bottom w:val="single" w:color="auto" w:sz="4" w:space="0"/>
              <w:right w:val="single" w:color="auto" w:sz="4" w:space="0"/>
            </w:tcBorders>
            <w:shd w:val="clear" w:color="auto" w:fill="auto"/>
            <w:vAlign w:val="center"/>
          </w:tcPr>
          <w:p>
            <w:pPr>
              <w:widowControl/>
              <w:rPr>
                <w:rFonts w:hint="default" w:ascii="Times New Roman" w:hAnsi="Times New Roman" w:eastAsia="仿宋" w:cs="Times New Roman"/>
                <w:color w:val="000000"/>
                <w:kern w:val="0"/>
                <w:sz w:val="22"/>
                <w:szCs w:val="22"/>
              </w:rPr>
            </w:pPr>
            <w:r>
              <w:rPr>
                <w:rFonts w:hint="default" w:ascii="Times New Roman" w:hAnsi="Times New Roman" w:eastAsia="仿宋" w:cs="Times New Roman"/>
                <w:color w:val="000000"/>
                <w:kern w:val="0"/>
                <w:sz w:val="22"/>
                <w:szCs w:val="22"/>
              </w:rPr>
              <w:t>（3）方案一般，服务保障一般</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color w:val="000000"/>
                <w:kern w:val="0"/>
                <w:sz w:val="22"/>
                <w:szCs w:val="22"/>
              </w:rPr>
            </w:pPr>
            <w:r>
              <w:rPr>
                <w:rFonts w:hint="default" w:ascii="Times New Roman" w:hAnsi="Times New Roman" w:eastAsia="仿宋" w:cs="Times New Roman"/>
                <w:color w:val="000000"/>
                <w:kern w:val="0"/>
                <w:sz w:val="22"/>
                <w:szCs w:val="22"/>
              </w:rPr>
              <w:t>1-10</w:t>
            </w:r>
          </w:p>
        </w:tc>
        <w:tc>
          <w:tcPr>
            <w:tcW w:w="765"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 w:cs="Times New Roman"/>
                <w:color w:val="000000"/>
                <w:kern w:val="0"/>
                <w:sz w:val="22"/>
                <w:szCs w:val="22"/>
              </w:rPr>
            </w:pPr>
            <w:r>
              <w:rPr>
                <w:rFonts w:hint="default" w:ascii="Times New Roman" w:hAnsi="Times New Roman" w:eastAsia="仿宋" w:cs="Times New Roman"/>
                <w:color w:val="000000"/>
                <w:kern w:val="0"/>
                <w:sz w:val="22"/>
                <w:szCs w:val="22"/>
              </w:rPr>
              <w:t>　</w:t>
            </w:r>
          </w:p>
        </w:tc>
      </w:tr>
      <w:tr>
        <w:tblPrEx>
          <w:tblCellMar>
            <w:top w:w="0" w:type="dxa"/>
            <w:left w:w="108" w:type="dxa"/>
            <w:bottom w:w="0" w:type="dxa"/>
            <w:right w:w="108" w:type="dxa"/>
          </w:tblCellMar>
        </w:tblPrEx>
        <w:trPr>
          <w:trHeight w:val="288" w:hRule="atLeast"/>
        </w:trPr>
        <w:tc>
          <w:tcPr>
            <w:tcW w:w="1243"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22"/>
                <w:szCs w:val="22"/>
              </w:rPr>
            </w:pPr>
          </w:p>
        </w:tc>
        <w:tc>
          <w:tcPr>
            <w:tcW w:w="104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color w:val="000000"/>
                <w:kern w:val="0"/>
                <w:sz w:val="22"/>
                <w:szCs w:val="22"/>
              </w:rPr>
            </w:pPr>
            <w:r>
              <w:rPr>
                <w:rFonts w:hint="default" w:ascii="Times New Roman" w:hAnsi="Times New Roman" w:eastAsia="仿宋" w:cs="Times New Roman"/>
                <w:color w:val="000000"/>
                <w:kern w:val="0"/>
                <w:sz w:val="22"/>
                <w:szCs w:val="22"/>
                <w:lang w:val="en-US" w:eastAsia="zh-CN"/>
              </w:rPr>
              <w:t>2</w:t>
            </w:r>
            <w:r>
              <w:rPr>
                <w:rFonts w:hint="default" w:ascii="Times New Roman" w:hAnsi="Times New Roman" w:eastAsia="仿宋" w:cs="Times New Roman"/>
                <w:color w:val="000000"/>
                <w:kern w:val="0"/>
                <w:sz w:val="22"/>
                <w:szCs w:val="22"/>
              </w:rPr>
              <w:t>、报价（30分）</w:t>
            </w:r>
          </w:p>
        </w:tc>
        <w:tc>
          <w:tcPr>
            <w:tcW w:w="121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 w:cs="Times New Roman"/>
                <w:color w:val="000000"/>
                <w:kern w:val="0"/>
                <w:sz w:val="22"/>
                <w:szCs w:val="22"/>
              </w:rPr>
            </w:pPr>
            <w:r>
              <w:rPr>
                <w:rFonts w:hint="default" w:ascii="Times New Roman" w:hAnsi="Times New Roman" w:eastAsia="仿宋" w:cs="Times New Roman"/>
                <w:color w:val="000000"/>
                <w:kern w:val="0"/>
                <w:sz w:val="22"/>
                <w:szCs w:val="22"/>
              </w:rPr>
              <w:t>成本控制</w:t>
            </w:r>
          </w:p>
        </w:tc>
        <w:tc>
          <w:tcPr>
            <w:tcW w:w="3675" w:type="dxa"/>
            <w:tcBorders>
              <w:top w:val="nil"/>
              <w:left w:val="nil"/>
              <w:bottom w:val="single" w:color="auto" w:sz="4" w:space="0"/>
              <w:right w:val="single" w:color="auto" w:sz="4" w:space="0"/>
            </w:tcBorders>
            <w:shd w:val="clear" w:color="auto" w:fill="auto"/>
            <w:vAlign w:val="center"/>
          </w:tcPr>
          <w:p>
            <w:pPr>
              <w:widowControl/>
              <w:rPr>
                <w:rFonts w:hint="default" w:ascii="Times New Roman" w:hAnsi="Times New Roman" w:eastAsia="仿宋" w:cs="Times New Roman"/>
                <w:b/>
                <w:bCs/>
                <w:color w:val="000000"/>
                <w:kern w:val="0"/>
                <w:sz w:val="22"/>
                <w:szCs w:val="22"/>
                <w:highlight w:val="none"/>
              </w:rPr>
            </w:pPr>
            <w:r>
              <w:rPr>
                <w:rFonts w:hint="default" w:ascii="Times New Roman" w:hAnsi="Times New Roman" w:eastAsia="仿宋" w:cs="Times New Roman"/>
                <w:b/>
                <w:bCs/>
                <w:color w:val="000000"/>
                <w:kern w:val="0"/>
                <w:sz w:val="22"/>
                <w:szCs w:val="22"/>
                <w:highlight w:val="none"/>
                <w:lang w:val="en-US" w:eastAsia="zh-CN"/>
              </w:rPr>
              <w:t>4</w:t>
            </w:r>
            <w:r>
              <w:rPr>
                <w:rFonts w:hint="default" w:ascii="Times New Roman" w:hAnsi="Times New Roman" w:eastAsia="仿宋" w:cs="Times New Roman"/>
                <w:b/>
                <w:bCs/>
                <w:color w:val="000000"/>
                <w:kern w:val="0"/>
                <w:sz w:val="22"/>
                <w:szCs w:val="22"/>
                <w:highlight w:val="none"/>
              </w:rPr>
              <w:t>、报价范围（不高于</w:t>
            </w:r>
            <w:r>
              <w:rPr>
                <w:rFonts w:hint="default" w:ascii="Times New Roman" w:hAnsi="Times New Roman" w:eastAsia="仿宋" w:cs="Times New Roman"/>
                <w:b/>
                <w:bCs/>
                <w:color w:val="000000"/>
                <w:kern w:val="0"/>
                <w:sz w:val="22"/>
                <w:szCs w:val="22"/>
                <w:highlight w:val="none"/>
                <w:lang w:val="en-US" w:eastAsia="zh-CN"/>
              </w:rPr>
              <w:t>12</w:t>
            </w:r>
            <w:r>
              <w:rPr>
                <w:rFonts w:hint="default" w:ascii="Times New Roman" w:hAnsi="Times New Roman" w:eastAsia="仿宋" w:cs="Times New Roman"/>
                <w:b/>
                <w:bCs/>
                <w:color w:val="000000"/>
                <w:kern w:val="0"/>
                <w:sz w:val="22"/>
                <w:szCs w:val="22"/>
                <w:highlight w:val="none"/>
              </w:rPr>
              <w:t>万</w:t>
            </w:r>
            <w:r>
              <w:rPr>
                <w:rFonts w:hint="default" w:ascii="Times New Roman" w:hAnsi="Times New Roman" w:eastAsia="仿宋" w:cs="Times New Roman"/>
                <w:b/>
                <w:bCs/>
                <w:color w:val="000000"/>
                <w:kern w:val="0"/>
                <w:sz w:val="22"/>
                <w:szCs w:val="22"/>
                <w:highlight w:val="none"/>
                <w:lang w:eastAsia="zh-CN"/>
              </w:rPr>
              <w:t>，</w:t>
            </w:r>
            <w:r>
              <w:rPr>
                <w:rFonts w:hint="default" w:ascii="Times New Roman" w:hAnsi="Times New Roman" w:eastAsia="仿宋" w:cs="Times New Roman"/>
                <w:b/>
                <w:bCs/>
                <w:color w:val="000000"/>
                <w:kern w:val="0"/>
                <w:sz w:val="22"/>
                <w:szCs w:val="22"/>
                <w:highlight w:val="none"/>
                <w:lang w:val="en-US" w:eastAsia="zh-CN"/>
              </w:rPr>
              <w:t>如</w:t>
            </w:r>
            <w:r>
              <w:rPr>
                <w:rFonts w:hint="default" w:ascii="Times New Roman" w:hAnsi="Times New Roman" w:eastAsia="仿宋" w:cs="Times New Roman"/>
                <w:b/>
                <w:bCs/>
                <w:color w:val="000000"/>
                <w:kern w:val="0"/>
                <w:sz w:val="22"/>
                <w:szCs w:val="22"/>
                <w:highlight w:val="none"/>
                <w:lang w:eastAsia="zh-CN"/>
              </w:rPr>
              <w:t>后期拟增加猎头招聘服务，费用控制在企业领导班子正职6万元/人内，班子副职5万元/人内</w:t>
            </w:r>
            <w:r>
              <w:rPr>
                <w:rFonts w:hint="default" w:ascii="Times New Roman" w:hAnsi="Times New Roman" w:eastAsia="仿宋" w:cs="Times New Roman"/>
                <w:b/>
                <w:bCs/>
                <w:color w:val="000000"/>
                <w:kern w:val="0"/>
                <w:sz w:val="22"/>
                <w:szCs w:val="22"/>
                <w:highlight w:val="none"/>
              </w:rPr>
              <w:t>）</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b/>
                <w:bCs/>
                <w:color w:val="000000"/>
                <w:kern w:val="0"/>
                <w:sz w:val="22"/>
                <w:szCs w:val="22"/>
              </w:rPr>
            </w:pPr>
            <w:r>
              <w:rPr>
                <w:rFonts w:hint="default" w:ascii="Times New Roman" w:hAnsi="Times New Roman" w:eastAsia="仿宋" w:cs="Times New Roman"/>
                <w:b/>
                <w:bCs/>
                <w:color w:val="000000"/>
                <w:kern w:val="0"/>
                <w:sz w:val="22"/>
                <w:szCs w:val="22"/>
              </w:rPr>
              <w:t>30</w:t>
            </w:r>
          </w:p>
        </w:tc>
        <w:tc>
          <w:tcPr>
            <w:tcW w:w="765"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 w:cs="Times New Roman"/>
                <w:color w:val="000000"/>
                <w:kern w:val="0"/>
                <w:sz w:val="22"/>
                <w:szCs w:val="22"/>
              </w:rPr>
            </w:pPr>
            <w:r>
              <w:rPr>
                <w:rFonts w:hint="default" w:ascii="Times New Roman" w:hAnsi="Times New Roman" w:eastAsia="仿宋" w:cs="Times New Roman"/>
                <w:color w:val="000000"/>
                <w:kern w:val="0"/>
                <w:sz w:val="22"/>
                <w:szCs w:val="22"/>
              </w:rPr>
              <w:t>　</w:t>
            </w:r>
          </w:p>
        </w:tc>
      </w:tr>
      <w:tr>
        <w:tblPrEx>
          <w:tblCellMar>
            <w:top w:w="0" w:type="dxa"/>
            <w:left w:w="108" w:type="dxa"/>
            <w:bottom w:w="0" w:type="dxa"/>
            <w:right w:w="108" w:type="dxa"/>
          </w:tblCellMar>
        </w:tblPrEx>
        <w:trPr>
          <w:trHeight w:val="576" w:hRule="atLeast"/>
        </w:trPr>
        <w:tc>
          <w:tcPr>
            <w:tcW w:w="1243"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22"/>
                <w:szCs w:val="22"/>
              </w:rPr>
            </w:pPr>
          </w:p>
        </w:tc>
        <w:tc>
          <w:tcPr>
            <w:tcW w:w="1048"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22"/>
                <w:szCs w:val="22"/>
              </w:rPr>
            </w:pPr>
          </w:p>
        </w:tc>
        <w:tc>
          <w:tcPr>
            <w:tcW w:w="1210"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22"/>
                <w:szCs w:val="22"/>
              </w:rPr>
            </w:pPr>
          </w:p>
        </w:tc>
        <w:tc>
          <w:tcPr>
            <w:tcW w:w="3675" w:type="dxa"/>
            <w:tcBorders>
              <w:top w:val="nil"/>
              <w:left w:val="nil"/>
              <w:bottom w:val="single" w:color="auto" w:sz="4" w:space="0"/>
              <w:right w:val="single" w:color="auto" w:sz="4" w:space="0"/>
            </w:tcBorders>
            <w:shd w:val="clear" w:color="auto" w:fill="auto"/>
            <w:vAlign w:val="center"/>
          </w:tcPr>
          <w:p>
            <w:pPr>
              <w:widowControl/>
              <w:rPr>
                <w:rFonts w:hint="default" w:ascii="Times New Roman" w:hAnsi="Times New Roman" w:eastAsia="仿宋" w:cs="Times New Roman"/>
                <w:color w:val="000000"/>
                <w:kern w:val="0"/>
                <w:sz w:val="22"/>
                <w:szCs w:val="22"/>
                <w:highlight w:val="none"/>
              </w:rPr>
            </w:pPr>
            <w:r>
              <w:rPr>
                <w:rFonts w:hint="default" w:ascii="Times New Roman" w:hAnsi="Times New Roman" w:eastAsia="仿宋" w:cs="Times New Roman"/>
                <w:color w:val="000000"/>
                <w:kern w:val="0"/>
                <w:sz w:val="22"/>
                <w:szCs w:val="22"/>
                <w:highlight w:val="none"/>
              </w:rPr>
              <w:t>（1）申请人有效报价【即比选限制价55%≤有效报价≤比选限制价100%】的平均价为评审基准价。报价为基准价的，得30分</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color w:val="000000"/>
                <w:kern w:val="0"/>
                <w:sz w:val="22"/>
                <w:szCs w:val="22"/>
              </w:rPr>
            </w:pPr>
            <w:r>
              <w:rPr>
                <w:rFonts w:hint="default" w:ascii="Times New Roman" w:hAnsi="Times New Roman" w:eastAsia="仿宋" w:cs="Times New Roman"/>
                <w:color w:val="000000"/>
                <w:kern w:val="0"/>
                <w:sz w:val="22"/>
                <w:szCs w:val="22"/>
              </w:rPr>
              <w:t>30</w:t>
            </w:r>
          </w:p>
        </w:tc>
        <w:tc>
          <w:tcPr>
            <w:tcW w:w="765"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 w:cs="Times New Roman"/>
                <w:color w:val="000000"/>
                <w:kern w:val="0"/>
                <w:sz w:val="22"/>
                <w:szCs w:val="22"/>
              </w:rPr>
            </w:pPr>
            <w:r>
              <w:rPr>
                <w:rFonts w:hint="default" w:ascii="Times New Roman" w:hAnsi="Times New Roman" w:eastAsia="仿宋" w:cs="Times New Roman"/>
                <w:color w:val="000000"/>
                <w:kern w:val="0"/>
                <w:sz w:val="22"/>
                <w:szCs w:val="22"/>
              </w:rPr>
              <w:t>　</w:t>
            </w:r>
          </w:p>
        </w:tc>
      </w:tr>
      <w:tr>
        <w:tblPrEx>
          <w:tblCellMar>
            <w:top w:w="0" w:type="dxa"/>
            <w:left w:w="108" w:type="dxa"/>
            <w:bottom w:w="0" w:type="dxa"/>
            <w:right w:w="108" w:type="dxa"/>
          </w:tblCellMar>
        </w:tblPrEx>
        <w:trPr>
          <w:trHeight w:val="576" w:hRule="atLeast"/>
        </w:trPr>
        <w:tc>
          <w:tcPr>
            <w:tcW w:w="1243"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22"/>
                <w:szCs w:val="22"/>
              </w:rPr>
            </w:pPr>
          </w:p>
        </w:tc>
        <w:tc>
          <w:tcPr>
            <w:tcW w:w="1048"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22"/>
                <w:szCs w:val="22"/>
              </w:rPr>
            </w:pPr>
          </w:p>
        </w:tc>
        <w:tc>
          <w:tcPr>
            <w:tcW w:w="1210"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22"/>
                <w:szCs w:val="22"/>
              </w:rPr>
            </w:pPr>
          </w:p>
        </w:tc>
        <w:tc>
          <w:tcPr>
            <w:tcW w:w="3675" w:type="dxa"/>
            <w:tcBorders>
              <w:top w:val="nil"/>
              <w:left w:val="nil"/>
              <w:bottom w:val="single" w:color="auto" w:sz="4" w:space="0"/>
              <w:right w:val="single" w:color="auto" w:sz="4" w:space="0"/>
            </w:tcBorders>
            <w:shd w:val="clear" w:color="auto" w:fill="auto"/>
            <w:vAlign w:val="center"/>
          </w:tcPr>
          <w:p>
            <w:pPr>
              <w:widowControl/>
              <w:rPr>
                <w:rFonts w:hint="default" w:ascii="Times New Roman" w:hAnsi="Times New Roman" w:eastAsia="仿宋" w:cs="Times New Roman"/>
                <w:color w:val="000000"/>
                <w:kern w:val="0"/>
                <w:sz w:val="22"/>
                <w:szCs w:val="22"/>
                <w:highlight w:val="none"/>
              </w:rPr>
            </w:pPr>
            <w:r>
              <w:rPr>
                <w:rFonts w:hint="default" w:ascii="Times New Roman" w:hAnsi="Times New Roman" w:eastAsia="仿宋" w:cs="Times New Roman"/>
                <w:color w:val="000000"/>
                <w:kern w:val="0"/>
                <w:sz w:val="22"/>
                <w:szCs w:val="22"/>
                <w:highlight w:val="none"/>
              </w:rPr>
              <w:t>（2）申请人的报价高于/低于基准价的，每高/低1%（不足1%，按1%计算），扣0.1分；扣完为止。</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color w:val="000000"/>
                <w:kern w:val="0"/>
                <w:sz w:val="22"/>
                <w:szCs w:val="22"/>
              </w:rPr>
            </w:pPr>
            <w:r>
              <w:rPr>
                <w:rFonts w:hint="default" w:ascii="Times New Roman" w:hAnsi="Times New Roman" w:eastAsia="仿宋" w:cs="Times New Roman"/>
                <w:color w:val="000000"/>
                <w:kern w:val="0"/>
                <w:sz w:val="22"/>
                <w:szCs w:val="22"/>
              </w:rPr>
              <w:t>0-30</w:t>
            </w:r>
          </w:p>
        </w:tc>
        <w:tc>
          <w:tcPr>
            <w:tcW w:w="765"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 w:cs="Times New Roman"/>
                <w:color w:val="000000"/>
                <w:kern w:val="0"/>
                <w:sz w:val="22"/>
                <w:szCs w:val="22"/>
              </w:rPr>
            </w:pPr>
            <w:r>
              <w:rPr>
                <w:rFonts w:hint="default" w:ascii="Times New Roman" w:hAnsi="Times New Roman" w:eastAsia="仿宋" w:cs="Times New Roman"/>
                <w:color w:val="000000"/>
                <w:kern w:val="0"/>
                <w:sz w:val="22"/>
                <w:szCs w:val="22"/>
              </w:rPr>
              <w:t>　</w:t>
            </w:r>
          </w:p>
        </w:tc>
      </w:tr>
      <w:tr>
        <w:tblPrEx>
          <w:tblCellMar>
            <w:top w:w="0" w:type="dxa"/>
            <w:left w:w="108" w:type="dxa"/>
            <w:bottom w:w="0" w:type="dxa"/>
            <w:right w:w="108" w:type="dxa"/>
          </w:tblCellMar>
        </w:tblPrEx>
        <w:trPr>
          <w:trHeight w:val="288" w:hRule="atLeast"/>
        </w:trPr>
        <w:tc>
          <w:tcPr>
            <w:tcW w:w="1243"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22"/>
                <w:szCs w:val="22"/>
              </w:rPr>
            </w:pPr>
          </w:p>
        </w:tc>
        <w:tc>
          <w:tcPr>
            <w:tcW w:w="104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color w:val="000000"/>
                <w:kern w:val="0"/>
                <w:sz w:val="22"/>
                <w:szCs w:val="22"/>
              </w:rPr>
            </w:pPr>
            <w:r>
              <w:rPr>
                <w:rFonts w:hint="default" w:ascii="Times New Roman" w:hAnsi="Times New Roman" w:eastAsia="仿宋" w:cs="Times New Roman"/>
                <w:color w:val="000000"/>
                <w:kern w:val="0"/>
                <w:sz w:val="22"/>
                <w:szCs w:val="22"/>
              </w:rPr>
              <w:t>4、保密（5分）</w:t>
            </w:r>
          </w:p>
        </w:tc>
        <w:tc>
          <w:tcPr>
            <w:tcW w:w="121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 w:cs="Times New Roman"/>
                <w:color w:val="000000"/>
                <w:kern w:val="0"/>
                <w:sz w:val="22"/>
                <w:szCs w:val="22"/>
              </w:rPr>
            </w:pPr>
            <w:r>
              <w:rPr>
                <w:rFonts w:hint="default" w:ascii="Times New Roman" w:hAnsi="Times New Roman" w:eastAsia="仿宋" w:cs="Times New Roman"/>
                <w:color w:val="000000"/>
                <w:kern w:val="0"/>
                <w:sz w:val="22"/>
                <w:szCs w:val="22"/>
              </w:rPr>
              <w:t>保密制度措施</w:t>
            </w:r>
          </w:p>
        </w:tc>
        <w:tc>
          <w:tcPr>
            <w:tcW w:w="3675"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 w:cs="Times New Roman"/>
                <w:b/>
                <w:bCs/>
                <w:color w:val="000000"/>
                <w:kern w:val="0"/>
                <w:sz w:val="22"/>
                <w:szCs w:val="22"/>
              </w:rPr>
            </w:pPr>
            <w:r>
              <w:rPr>
                <w:rFonts w:hint="default" w:ascii="Times New Roman" w:hAnsi="Times New Roman" w:eastAsia="仿宋" w:cs="Times New Roman"/>
                <w:b/>
                <w:bCs/>
                <w:color w:val="000000"/>
                <w:kern w:val="0"/>
                <w:sz w:val="22"/>
                <w:szCs w:val="22"/>
                <w:lang w:val="en-US" w:eastAsia="zh-CN"/>
              </w:rPr>
              <w:t>5</w:t>
            </w:r>
            <w:r>
              <w:rPr>
                <w:rFonts w:hint="default" w:ascii="Times New Roman" w:hAnsi="Times New Roman" w:eastAsia="仿宋" w:cs="Times New Roman"/>
                <w:b/>
                <w:bCs/>
                <w:color w:val="000000"/>
                <w:kern w:val="0"/>
                <w:sz w:val="22"/>
                <w:szCs w:val="22"/>
              </w:rPr>
              <w:t>、有无保密制度和保密措施</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b/>
                <w:bCs/>
                <w:color w:val="000000"/>
                <w:kern w:val="0"/>
                <w:sz w:val="22"/>
                <w:szCs w:val="22"/>
              </w:rPr>
            </w:pPr>
            <w:r>
              <w:rPr>
                <w:rFonts w:hint="default" w:ascii="Times New Roman" w:hAnsi="Times New Roman" w:eastAsia="仿宋" w:cs="Times New Roman"/>
                <w:b/>
                <w:bCs/>
                <w:color w:val="000000"/>
                <w:kern w:val="0"/>
                <w:sz w:val="22"/>
                <w:szCs w:val="22"/>
              </w:rPr>
              <w:t>5</w:t>
            </w:r>
          </w:p>
        </w:tc>
        <w:tc>
          <w:tcPr>
            <w:tcW w:w="765"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 w:cs="Times New Roman"/>
                <w:color w:val="000000"/>
                <w:kern w:val="0"/>
                <w:sz w:val="22"/>
                <w:szCs w:val="22"/>
              </w:rPr>
            </w:pPr>
            <w:r>
              <w:rPr>
                <w:rFonts w:hint="default" w:ascii="Times New Roman" w:hAnsi="Times New Roman" w:eastAsia="仿宋" w:cs="Times New Roman"/>
                <w:color w:val="000000"/>
                <w:kern w:val="0"/>
                <w:sz w:val="22"/>
                <w:szCs w:val="22"/>
              </w:rPr>
              <w:t>　</w:t>
            </w:r>
          </w:p>
        </w:tc>
      </w:tr>
      <w:tr>
        <w:tblPrEx>
          <w:tblCellMar>
            <w:top w:w="0" w:type="dxa"/>
            <w:left w:w="108" w:type="dxa"/>
            <w:bottom w:w="0" w:type="dxa"/>
            <w:right w:w="108" w:type="dxa"/>
          </w:tblCellMar>
        </w:tblPrEx>
        <w:trPr>
          <w:trHeight w:val="288" w:hRule="atLeast"/>
        </w:trPr>
        <w:tc>
          <w:tcPr>
            <w:tcW w:w="1243"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22"/>
                <w:szCs w:val="22"/>
              </w:rPr>
            </w:pPr>
          </w:p>
        </w:tc>
        <w:tc>
          <w:tcPr>
            <w:tcW w:w="1048"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22"/>
                <w:szCs w:val="22"/>
              </w:rPr>
            </w:pPr>
          </w:p>
        </w:tc>
        <w:tc>
          <w:tcPr>
            <w:tcW w:w="1210"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22"/>
                <w:szCs w:val="22"/>
              </w:rPr>
            </w:pPr>
          </w:p>
        </w:tc>
        <w:tc>
          <w:tcPr>
            <w:tcW w:w="3675"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 w:cs="Times New Roman"/>
                <w:color w:val="000000"/>
                <w:kern w:val="0"/>
                <w:sz w:val="22"/>
                <w:szCs w:val="22"/>
              </w:rPr>
            </w:pPr>
            <w:r>
              <w:rPr>
                <w:rFonts w:hint="default" w:ascii="Times New Roman" w:hAnsi="Times New Roman" w:eastAsia="仿宋" w:cs="Times New Roman"/>
                <w:color w:val="000000"/>
                <w:kern w:val="0"/>
                <w:sz w:val="22"/>
                <w:szCs w:val="22"/>
              </w:rPr>
              <w:t>（1）有</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color w:val="000000"/>
                <w:kern w:val="0"/>
                <w:sz w:val="22"/>
                <w:szCs w:val="22"/>
              </w:rPr>
            </w:pPr>
            <w:r>
              <w:rPr>
                <w:rFonts w:hint="default" w:ascii="Times New Roman" w:hAnsi="Times New Roman" w:eastAsia="仿宋" w:cs="Times New Roman"/>
                <w:color w:val="000000"/>
                <w:kern w:val="0"/>
                <w:sz w:val="22"/>
                <w:szCs w:val="22"/>
              </w:rPr>
              <w:t>5</w:t>
            </w:r>
          </w:p>
        </w:tc>
        <w:tc>
          <w:tcPr>
            <w:tcW w:w="765"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 w:cs="Times New Roman"/>
                <w:color w:val="000000"/>
                <w:kern w:val="0"/>
                <w:sz w:val="22"/>
                <w:szCs w:val="22"/>
              </w:rPr>
            </w:pPr>
            <w:r>
              <w:rPr>
                <w:rFonts w:hint="default" w:ascii="Times New Roman" w:hAnsi="Times New Roman" w:eastAsia="仿宋" w:cs="Times New Roman"/>
                <w:color w:val="000000"/>
                <w:kern w:val="0"/>
                <w:sz w:val="22"/>
                <w:szCs w:val="22"/>
              </w:rPr>
              <w:t>　</w:t>
            </w:r>
          </w:p>
        </w:tc>
      </w:tr>
      <w:tr>
        <w:tblPrEx>
          <w:tblCellMar>
            <w:top w:w="0" w:type="dxa"/>
            <w:left w:w="108" w:type="dxa"/>
            <w:bottom w:w="0" w:type="dxa"/>
            <w:right w:w="108" w:type="dxa"/>
          </w:tblCellMar>
        </w:tblPrEx>
        <w:trPr>
          <w:trHeight w:val="288" w:hRule="atLeast"/>
        </w:trPr>
        <w:tc>
          <w:tcPr>
            <w:tcW w:w="1243"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22"/>
                <w:szCs w:val="22"/>
              </w:rPr>
            </w:pPr>
          </w:p>
        </w:tc>
        <w:tc>
          <w:tcPr>
            <w:tcW w:w="1048"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22"/>
                <w:szCs w:val="22"/>
              </w:rPr>
            </w:pPr>
          </w:p>
        </w:tc>
        <w:tc>
          <w:tcPr>
            <w:tcW w:w="1210"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color w:val="000000"/>
                <w:kern w:val="0"/>
                <w:sz w:val="22"/>
                <w:szCs w:val="22"/>
              </w:rPr>
            </w:pPr>
          </w:p>
        </w:tc>
        <w:tc>
          <w:tcPr>
            <w:tcW w:w="3675"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 w:cs="Times New Roman"/>
                <w:color w:val="000000"/>
                <w:kern w:val="0"/>
                <w:sz w:val="22"/>
                <w:szCs w:val="22"/>
              </w:rPr>
            </w:pPr>
            <w:r>
              <w:rPr>
                <w:rFonts w:hint="default" w:ascii="Times New Roman" w:hAnsi="Times New Roman" w:eastAsia="仿宋" w:cs="Times New Roman"/>
                <w:color w:val="000000"/>
                <w:kern w:val="0"/>
                <w:sz w:val="22"/>
                <w:szCs w:val="22"/>
              </w:rPr>
              <w:t>（2）无</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color w:val="000000"/>
                <w:kern w:val="0"/>
                <w:sz w:val="22"/>
                <w:szCs w:val="22"/>
              </w:rPr>
            </w:pPr>
            <w:r>
              <w:rPr>
                <w:rFonts w:hint="default" w:ascii="Times New Roman" w:hAnsi="Times New Roman" w:eastAsia="仿宋" w:cs="Times New Roman"/>
                <w:color w:val="000000"/>
                <w:kern w:val="0"/>
                <w:sz w:val="22"/>
                <w:szCs w:val="22"/>
              </w:rPr>
              <w:t>0</w:t>
            </w:r>
          </w:p>
        </w:tc>
        <w:tc>
          <w:tcPr>
            <w:tcW w:w="765"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 w:cs="Times New Roman"/>
                <w:color w:val="000000"/>
                <w:kern w:val="0"/>
                <w:sz w:val="22"/>
                <w:szCs w:val="22"/>
              </w:rPr>
            </w:pPr>
            <w:r>
              <w:rPr>
                <w:rFonts w:hint="default" w:ascii="Times New Roman" w:hAnsi="Times New Roman" w:eastAsia="仿宋" w:cs="Times New Roman"/>
                <w:color w:val="000000"/>
                <w:kern w:val="0"/>
                <w:sz w:val="22"/>
                <w:szCs w:val="22"/>
              </w:rPr>
              <w:t>　</w:t>
            </w:r>
          </w:p>
        </w:tc>
      </w:tr>
      <w:tr>
        <w:tblPrEx>
          <w:tblCellMar>
            <w:top w:w="0" w:type="dxa"/>
            <w:left w:w="108" w:type="dxa"/>
            <w:bottom w:w="0" w:type="dxa"/>
            <w:right w:w="108" w:type="dxa"/>
          </w:tblCellMar>
        </w:tblPrEx>
        <w:trPr>
          <w:trHeight w:val="288" w:hRule="atLeast"/>
        </w:trPr>
        <w:tc>
          <w:tcPr>
            <w:tcW w:w="717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color w:val="000000"/>
                <w:kern w:val="0"/>
                <w:sz w:val="22"/>
                <w:szCs w:val="22"/>
              </w:rPr>
            </w:pPr>
            <w:r>
              <w:rPr>
                <w:rFonts w:hint="default" w:ascii="Times New Roman" w:hAnsi="Times New Roman" w:eastAsia="仿宋" w:cs="Times New Roman"/>
                <w:color w:val="000000"/>
                <w:kern w:val="0"/>
                <w:sz w:val="22"/>
                <w:szCs w:val="22"/>
              </w:rPr>
              <w:t>合计得分</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color w:val="000000"/>
                <w:kern w:val="0"/>
                <w:sz w:val="22"/>
                <w:szCs w:val="22"/>
              </w:rPr>
            </w:pPr>
            <w:r>
              <w:rPr>
                <w:rFonts w:hint="default" w:ascii="Times New Roman" w:hAnsi="Times New Roman" w:eastAsia="仿宋" w:cs="Times New Roman"/>
                <w:color w:val="000000"/>
                <w:kern w:val="0"/>
                <w:sz w:val="22"/>
                <w:szCs w:val="22"/>
              </w:rPr>
              <w:t>100</w:t>
            </w:r>
          </w:p>
        </w:tc>
        <w:tc>
          <w:tcPr>
            <w:tcW w:w="765"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 w:cs="Times New Roman"/>
                <w:color w:val="000000"/>
                <w:kern w:val="0"/>
                <w:sz w:val="22"/>
                <w:szCs w:val="22"/>
              </w:rPr>
            </w:pPr>
            <w:r>
              <w:rPr>
                <w:rFonts w:hint="default" w:ascii="Times New Roman" w:hAnsi="Times New Roman" w:eastAsia="仿宋" w:cs="Times New Roman"/>
                <w:color w:val="000000"/>
                <w:kern w:val="0"/>
                <w:sz w:val="22"/>
                <w:szCs w:val="22"/>
              </w:rPr>
              <w:t>　</w:t>
            </w:r>
          </w:p>
        </w:tc>
      </w:tr>
    </w:tbl>
    <w:p>
      <w:pPr>
        <w:spacing w:before="120" w:beforeLines="5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1.综合评分=报价评分+质量评分+保密评分；</w:t>
      </w:r>
    </w:p>
    <w:p>
      <w:pPr>
        <w:spacing w:before="120" w:beforeLines="5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2.分项得分按四舍五入原则精确到小数点后一位,综合评分四舍五入取整数位。</w:t>
      </w:r>
    </w:p>
    <w:p>
      <w:pPr>
        <w:spacing w:before="120" w:beforeLines="5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（四）推荐通过中选候选人</w:t>
      </w:r>
    </w:p>
    <w:p>
      <w:pPr>
        <w:spacing w:before="120" w:beforeLines="5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评审组根据评分统计结果按综合得分从高到低排序，综合评分相同的，按报价评分由高到低顺序排列；综合评分相同，且报价评分相同的，按质量评分由高到低顺序排列；综合评分相同，且报价评分、质量评分均相同的，按保密评分由高到低顺序排列；综合评分相同，且报价评分、质量评分、保密评分均相同名次由评审组抽签决定，评审组按上述排列顺序向比选人推荐中选候选人。</w:t>
      </w:r>
    </w:p>
    <w:p>
      <w:pPr>
        <w:widowControl/>
        <w:spacing w:line="560" w:lineRule="exact"/>
        <w:jc w:val="left"/>
        <w:rPr>
          <w:rFonts w:hint="default" w:ascii="Times New Roman" w:hAnsi="Times New Roman" w:eastAsia="仿宋_GB2312" w:cs="Times New Roman"/>
          <w:sz w:val="32"/>
          <w:szCs w:val="32"/>
        </w:rPr>
      </w:pPr>
    </w:p>
    <w:sectPr>
      <w:footerReference r:id="rId7" w:type="first"/>
      <w:headerReference r:id="rId5" w:type="default"/>
      <w:footerReference r:id="rId6" w:type="default"/>
      <w:pgSz w:w="11906" w:h="16838"/>
      <w:pgMar w:top="2098" w:right="1474" w:bottom="1985" w:left="1588" w:header="851" w:footer="1247" w:gutter="0"/>
      <w:pgNumType w:chapSep="em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lang w:val="zh-CN"/>
      </w:rPr>
      <w:fldChar w:fldCharType="begin"/>
    </w:r>
    <w:r>
      <w:rPr>
        <w:lang w:val="zh-CN"/>
      </w:rPr>
      <w:instrText xml:space="preserve"> PAGE   \* MERGEFORMAT </w:instrText>
    </w:r>
    <w:r>
      <w:rPr>
        <w:lang w:val="zh-CN"/>
      </w:rPr>
      <w:fldChar w:fldCharType="separate"/>
    </w:r>
    <w:r>
      <w:rPr>
        <w:lang w:val="zh-CN"/>
      </w:rPr>
      <w:t>26</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3"/>
        <w:rFonts w:ascii="仿宋" w:hAnsi="仿宋" w:eastAsia="仿宋"/>
      </w:rPr>
    </w:pPr>
    <w:r>
      <w:rPr>
        <w:rStyle w:val="13"/>
        <w:rFonts w:ascii="仿宋" w:hAnsi="仿宋" w:eastAsia="仿宋" w:cs="仿宋"/>
        <w:sz w:val="28"/>
        <w:szCs w:val="28"/>
      </w:rPr>
      <w:t xml:space="preserve">— </w:t>
    </w:r>
    <w:r>
      <w:rPr>
        <w:rFonts w:ascii="仿宋" w:hAnsi="仿宋" w:eastAsia="仿宋" w:cs="仿宋"/>
        <w:sz w:val="28"/>
        <w:szCs w:val="28"/>
      </w:rPr>
      <w:fldChar w:fldCharType="begin"/>
    </w:r>
    <w:r>
      <w:rPr>
        <w:rStyle w:val="13"/>
        <w:rFonts w:ascii="仿宋" w:hAnsi="仿宋" w:eastAsia="仿宋" w:cs="仿宋"/>
        <w:sz w:val="28"/>
        <w:szCs w:val="28"/>
      </w:rPr>
      <w:instrText xml:space="preserve">PAGE  </w:instrText>
    </w:r>
    <w:r>
      <w:rPr>
        <w:rFonts w:ascii="仿宋" w:hAnsi="仿宋" w:eastAsia="仿宋" w:cs="仿宋"/>
        <w:sz w:val="28"/>
        <w:szCs w:val="28"/>
      </w:rPr>
      <w:fldChar w:fldCharType="separate"/>
    </w:r>
    <w:r>
      <w:rPr>
        <w:rStyle w:val="13"/>
        <w:rFonts w:ascii="仿宋" w:hAnsi="仿宋" w:eastAsia="仿宋" w:cs="仿宋"/>
        <w:sz w:val="28"/>
        <w:szCs w:val="28"/>
      </w:rPr>
      <w:t>2</w:t>
    </w:r>
    <w:r>
      <w:rPr>
        <w:rFonts w:ascii="仿宋" w:hAnsi="仿宋" w:eastAsia="仿宋" w:cs="仿宋"/>
        <w:sz w:val="28"/>
        <w:szCs w:val="28"/>
      </w:rPr>
      <w:fldChar w:fldCharType="end"/>
    </w:r>
    <w:r>
      <w:rPr>
        <w:rStyle w:val="13"/>
        <w:rFonts w:ascii="仿宋" w:hAnsi="仿宋" w:eastAsia="仿宋" w:cs="仿宋"/>
        <w:sz w:val="28"/>
        <w:szCs w:val="28"/>
      </w:rPr>
      <w:t xml:space="preserve"> —</w:t>
    </w:r>
  </w:p>
  <w:p>
    <w:pPr>
      <w:pStyle w:val="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p>
    <w:pPr>
      <w:pStyle w:val="7"/>
      <w:framePr w:wrap="around" w:vAnchor="text" w:hAnchor="margin" w:xAlign="outside" w:y="1"/>
      <w:rPr>
        <w:rStyle w:val="13"/>
        <w:rFonts w:ascii="仿宋" w:hAnsi="仿宋" w:eastAsia="仿宋"/>
      </w:rPr>
    </w:pPr>
    <w:r>
      <w:rPr>
        <w:rStyle w:val="13"/>
        <w:rFonts w:ascii="仿宋" w:hAnsi="仿宋" w:eastAsia="仿宋" w:cs="仿宋"/>
        <w:sz w:val="28"/>
        <w:szCs w:val="28"/>
      </w:rPr>
      <w:t xml:space="preserve">— </w:t>
    </w:r>
    <w:r>
      <w:rPr>
        <w:rFonts w:ascii="仿宋" w:hAnsi="仿宋" w:eastAsia="仿宋" w:cs="仿宋"/>
        <w:sz w:val="28"/>
        <w:szCs w:val="28"/>
      </w:rPr>
      <w:fldChar w:fldCharType="begin"/>
    </w:r>
    <w:r>
      <w:rPr>
        <w:rStyle w:val="13"/>
        <w:rFonts w:ascii="仿宋" w:hAnsi="仿宋" w:eastAsia="仿宋" w:cs="仿宋"/>
        <w:sz w:val="28"/>
        <w:szCs w:val="28"/>
      </w:rPr>
      <w:instrText xml:space="preserve">PAGE  </w:instrText>
    </w:r>
    <w:r>
      <w:rPr>
        <w:rFonts w:ascii="仿宋" w:hAnsi="仿宋" w:eastAsia="仿宋" w:cs="仿宋"/>
        <w:sz w:val="28"/>
        <w:szCs w:val="28"/>
      </w:rPr>
      <w:fldChar w:fldCharType="separate"/>
    </w:r>
    <w:r>
      <w:rPr>
        <w:rStyle w:val="13"/>
        <w:rFonts w:ascii="仿宋" w:hAnsi="仿宋" w:eastAsia="仿宋" w:cs="仿宋"/>
        <w:sz w:val="28"/>
        <w:szCs w:val="28"/>
      </w:rPr>
      <w:t>1</w:t>
    </w:r>
    <w:r>
      <w:rPr>
        <w:rFonts w:ascii="仿宋" w:hAnsi="仿宋" w:eastAsia="仿宋" w:cs="仿宋"/>
        <w:sz w:val="28"/>
        <w:szCs w:val="28"/>
      </w:rPr>
      <w:fldChar w:fldCharType="end"/>
    </w:r>
    <w:r>
      <w:rPr>
        <w:rStyle w:val="13"/>
        <w:rFonts w:ascii="仿宋" w:hAnsi="仿宋" w:eastAsia="仿宋" w:cs="仿宋"/>
        <w:sz w:val="28"/>
        <w:szCs w:val="28"/>
      </w:rPr>
      <w:t xml:space="preserve"> —</w:t>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2F3342"/>
    <w:multiLevelType w:val="singleLevel"/>
    <w:tmpl w:val="602F334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362D23"/>
    <w:rsid w:val="0026141F"/>
    <w:rsid w:val="0038687D"/>
    <w:rsid w:val="0038741A"/>
    <w:rsid w:val="006C0602"/>
    <w:rsid w:val="008B0D26"/>
    <w:rsid w:val="00983D80"/>
    <w:rsid w:val="00A65537"/>
    <w:rsid w:val="00B126EC"/>
    <w:rsid w:val="00BE1947"/>
    <w:rsid w:val="00EC4C4C"/>
    <w:rsid w:val="00EF4012"/>
    <w:rsid w:val="00F3109F"/>
    <w:rsid w:val="00F95324"/>
    <w:rsid w:val="01E96C6B"/>
    <w:rsid w:val="027736AA"/>
    <w:rsid w:val="028F32AF"/>
    <w:rsid w:val="02BF5ECF"/>
    <w:rsid w:val="04B330B0"/>
    <w:rsid w:val="070A78C4"/>
    <w:rsid w:val="08066314"/>
    <w:rsid w:val="08300D5F"/>
    <w:rsid w:val="08D82EB4"/>
    <w:rsid w:val="0B5942E4"/>
    <w:rsid w:val="0B624247"/>
    <w:rsid w:val="0B6744DC"/>
    <w:rsid w:val="0BC31F30"/>
    <w:rsid w:val="0C505D11"/>
    <w:rsid w:val="0C613C59"/>
    <w:rsid w:val="0CE425B4"/>
    <w:rsid w:val="0E3E0DE3"/>
    <w:rsid w:val="0E47726C"/>
    <w:rsid w:val="121F309E"/>
    <w:rsid w:val="12604A44"/>
    <w:rsid w:val="13A823CE"/>
    <w:rsid w:val="155A5810"/>
    <w:rsid w:val="158E17A8"/>
    <w:rsid w:val="17C01BD7"/>
    <w:rsid w:val="190F1CCA"/>
    <w:rsid w:val="1C346B34"/>
    <w:rsid w:val="1F7365F1"/>
    <w:rsid w:val="20362D23"/>
    <w:rsid w:val="216D670C"/>
    <w:rsid w:val="22EC468F"/>
    <w:rsid w:val="23DD005E"/>
    <w:rsid w:val="26F34C0B"/>
    <w:rsid w:val="28AE165A"/>
    <w:rsid w:val="2AD952EB"/>
    <w:rsid w:val="2CF957A0"/>
    <w:rsid w:val="2DAD765E"/>
    <w:rsid w:val="2FE44AAA"/>
    <w:rsid w:val="32941BB9"/>
    <w:rsid w:val="32B057E9"/>
    <w:rsid w:val="33812298"/>
    <w:rsid w:val="35466AC4"/>
    <w:rsid w:val="3610509C"/>
    <w:rsid w:val="37014F81"/>
    <w:rsid w:val="373E1546"/>
    <w:rsid w:val="3C4B6747"/>
    <w:rsid w:val="40260E90"/>
    <w:rsid w:val="41605DCE"/>
    <w:rsid w:val="42840E66"/>
    <w:rsid w:val="43563CFF"/>
    <w:rsid w:val="43802555"/>
    <w:rsid w:val="454545C5"/>
    <w:rsid w:val="4787717C"/>
    <w:rsid w:val="4E1C2C35"/>
    <w:rsid w:val="52F40C80"/>
    <w:rsid w:val="551A40C7"/>
    <w:rsid w:val="5A6A55D1"/>
    <w:rsid w:val="5D3F733E"/>
    <w:rsid w:val="64E929F2"/>
    <w:rsid w:val="67613768"/>
    <w:rsid w:val="6DFC1BE7"/>
    <w:rsid w:val="72103AFD"/>
    <w:rsid w:val="75A76E13"/>
    <w:rsid w:val="79AF50B1"/>
    <w:rsid w:val="7E6975CE"/>
    <w:rsid w:val="7FC7CB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rFonts w:eastAsia="仿宋_GB2312"/>
      <w:b/>
      <w:bCs/>
      <w:kern w:val="44"/>
      <w:sz w:val="44"/>
      <w:szCs w:val="44"/>
    </w:rPr>
  </w:style>
  <w:style w:type="paragraph" w:styleId="4">
    <w:name w:val="heading 4"/>
    <w:basedOn w:val="1"/>
    <w:next w:val="1"/>
    <w:unhideWhenUsed/>
    <w:qFormat/>
    <w:uiPriority w:val="0"/>
    <w:pPr>
      <w:keepNext/>
      <w:keepLines/>
      <w:spacing w:before="280" w:after="290" w:line="376" w:lineRule="auto"/>
      <w:outlineLvl w:val="3"/>
    </w:pPr>
    <w:rPr>
      <w:rFonts w:ascii="Calibri Light" w:hAnsi="Calibri Light" w:cs="宋体"/>
      <w:b/>
      <w:bCs/>
      <w:sz w:val="28"/>
      <w:szCs w:val="28"/>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widowControl/>
      <w:spacing w:line="360" w:lineRule="auto"/>
    </w:pPr>
    <w:rPr>
      <w:color w:val="FF0000"/>
      <w:sz w:val="20"/>
    </w:rPr>
  </w:style>
  <w:style w:type="paragraph" w:styleId="5">
    <w:name w:val="Body Text Indent"/>
    <w:basedOn w:val="1"/>
    <w:qFormat/>
    <w:uiPriority w:val="0"/>
    <w:pPr>
      <w:ind w:left="420" w:leftChars="200"/>
    </w:pPr>
    <w:rPr>
      <w:rFonts w:ascii="Calibri" w:hAnsi="Calibri" w:eastAsiaTheme="minorEastAsia" w:cstheme="minorBidi"/>
      <w:szCs w:val="22"/>
    </w:rPr>
  </w:style>
  <w:style w:type="paragraph" w:styleId="6">
    <w:name w:val="Balloon Text"/>
    <w:basedOn w:val="1"/>
    <w:link w:val="16"/>
    <w:qFormat/>
    <w:uiPriority w:val="0"/>
    <w:rPr>
      <w:rFonts w:ascii="宋体"/>
      <w:sz w:val="18"/>
      <w:szCs w:val="18"/>
    </w:rPr>
  </w:style>
  <w:style w:type="paragraph" w:styleId="7">
    <w:name w:val="footer"/>
    <w:basedOn w:val="1"/>
    <w:qFormat/>
    <w:uiPriority w:val="99"/>
    <w:pPr>
      <w:tabs>
        <w:tab w:val="center" w:pos="4153"/>
        <w:tab w:val="right" w:pos="8306"/>
      </w:tabs>
      <w:snapToGrid w:val="0"/>
      <w:jc w:val="left"/>
    </w:pPr>
    <w:rPr>
      <w:rFonts w:ascii="Calibri" w:hAnsi="Calibri"/>
      <w:sz w:val="18"/>
      <w:szCs w:val="18"/>
    </w:rPr>
  </w:style>
  <w:style w:type="paragraph" w:styleId="8">
    <w:name w:val="header"/>
    <w:basedOn w:val="1"/>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9">
    <w:name w:val="toc 1"/>
    <w:basedOn w:val="1"/>
    <w:next w:val="1"/>
    <w:qFormat/>
    <w:uiPriority w:val="39"/>
    <w:pPr>
      <w:tabs>
        <w:tab w:val="right" w:leader="dot" w:pos="8296"/>
      </w:tabs>
      <w:spacing w:before="120"/>
      <w:jc w:val="center"/>
    </w:pPr>
    <w:rPr>
      <w:rFonts w:asciiTheme="minorHAnsi" w:hAnsiTheme="minorHAnsi"/>
      <w:b/>
      <w:bCs/>
      <w:caps/>
      <w:sz w:val="22"/>
      <w:szCs w:val="22"/>
    </w:rPr>
  </w:style>
  <w:style w:type="paragraph" w:styleId="10">
    <w:name w:val="Normal (Web)"/>
    <w:basedOn w:val="1"/>
    <w:qFormat/>
    <w:uiPriority w:val="0"/>
    <w:pPr>
      <w:spacing w:beforeAutospacing="1" w:afterAutospacing="1"/>
      <w:jc w:val="left"/>
    </w:pPr>
    <w:rPr>
      <w:kern w:val="0"/>
      <w:sz w:val="24"/>
    </w:rPr>
  </w:style>
  <w:style w:type="character" w:styleId="13">
    <w:name w:val="page number"/>
    <w:basedOn w:val="12"/>
    <w:qFormat/>
    <w:uiPriority w:val="99"/>
  </w:style>
  <w:style w:type="character" w:customStyle="1" w:styleId="14">
    <w:name w:val="UserStyle_0"/>
    <w:semiHidden/>
    <w:qFormat/>
    <w:uiPriority w:val="0"/>
    <w:rPr>
      <w:kern w:val="2"/>
      <w:sz w:val="21"/>
      <w:szCs w:val="24"/>
      <w:lang w:val="en-US" w:eastAsia="zh-CN" w:bidi="ar-SA"/>
    </w:rPr>
  </w:style>
  <w:style w:type="paragraph" w:customStyle="1" w:styleId="15">
    <w:name w:val="列表段落1"/>
    <w:basedOn w:val="1"/>
    <w:qFormat/>
    <w:uiPriority w:val="34"/>
    <w:pPr>
      <w:ind w:firstLine="420" w:firstLineChars="200"/>
    </w:pPr>
  </w:style>
  <w:style w:type="character" w:customStyle="1" w:styleId="16">
    <w:name w:val="批注框文本 字符"/>
    <w:basedOn w:val="12"/>
    <w:link w:val="6"/>
    <w:qFormat/>
    <w:uiPriority w:val="0"/>
    <w:rPr>
      <w:rFonts w:ascii="宋体" w:hAnsi="Times New Roman" w:eastAsia="宋体" w:cs="Times New Roman"/>
      <w:kern w:val="2"/>
      <w:sz w:val="18"/>
      <w:szCs w:val="18"/>
    </w:rPr>
  </w:style>
  <w:style w:type="paragraph" w:customStyle="1" w:styleId="17">
    <w:name w:val="列出段落1"/>
    <w:basedOn w:val="1"/>
    <w:qFormat/>
    <w:uiPriority w:val="0"/>
    <w:pPr>
      <w:ind w:firstLine="420" w:firstLineChars="200"/>
    </w:pPr>
    <w:rPr>
      <w:szCs w:val="20"/>
    </w:rPr>
  </w:style>
  <w:style w:type="paragraph" w:customStyle="1" w:styleId="18">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四川交投物流有限公司</Company>
  <Pages>1</Pages>
  <Words>2944</Words>
  <Characters>16781</Characters>
  <Lines>139</Lines>
  <Paragraphs>39</Paragraphs>
  <TotalTime>8</TotalTime>
  <ScaleCrop>false</ScaleCrop>
  <LinksUpToDate>false</LinksUpToDate>
  <CharactersWithSpaces>19686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2021-11-01T20:15:00Z</dcterms:created>
  <dc:creator>张意娜</dc:creator>
  <cp:lastModifiedBy>杜萱</cp:lastModifiedBy>
  <cp:lastPrinted>2022-03-10T01:42:00Z</cp:lastPrinted>
  <dcterms:modified xsi:type="dcterms:W3CDTF">2022-03-10T06:35:04Z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1B10990FA8124E1F9684B60B05FBCB08</vt:lpwstr>
  </property>
</Properties>
</file>