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contextualSpacing/>
        <w:rPr>
          <w:rFonts w:ascii="Times New Roman" w:hAnsi="Times New Roman" w:eastAsia="仿宋_GB2312" w:cs="Times New Roman"/>
          <w:b/>
          <w:color w:val="auto"/>
          <w:kern w:val="0"/>
          <w:sz w:val="28"/>
          <w:szCs w:val="28"/>
          <w:highlight w:val="none"/>
        </w:rPr>
      </w:pPr>
    </w:p>
    <w:p>
      <w:pPr>
        <w:autoSpaceDE w:val="0"/>
        <w:autoSpaceDN w:val="0"/>
        <w:adjustRightInd w:val="0"/>
        <w:spacing w:line="570" w:lineRule="exact"/>
        <w:contextualSpacing/>
        <w:rPr>
          <w:rFonts w:ascii="Times New Roman" w:hAnsi="Times New Roman" w:eastAsia="方正小标宋简体" w:cs="Times New Roman"/>
          <w:color w:val="auto"/>
          <w:sz w:val="44"/>
          <w:szCs w:val="44"/>
          <w:highlight w:val="none"/>
        </w:rPr>
      </w:pPr>
    </w:p>
    <w:p>
      <w:pPr>
        <w:autoSpaceDE w:val="0"/>
        <w:autoSpaceDN w:val="0"/>
        <w:adjustRightInd w:val="0"/>
        <w:spacing w:line="570" w:lineRule="exact"/>
        <w:contextualSpacing/>
        <w:rPr>
          <w:rFonts w:ascii="Times New Roman" w:hAnsi="Times New Roman" w:eastAsia="方正小标宋简体" w:cs="Times New Roman"/>
          <w:color w:val="auto"/>
          <w:sz w:val="44"/>
          <w:szCs w:val="44"/>
          <w:highlight w:val="none"/>
        </w:rPr>
      </w:pPr>
    </w:p>
    <w:p>
      <w:pPr>
        <w:autoSpaceDE w:val="0"/>
        <w:autoSpaceDN w:val="0"/>
        <w:adjustRightInd w:val="0"/>
        <w:spacing w:line="570" w:lineRule="exact"/>
        <w:contextualSpacing/>
        <w:rPr>
          <w:rFonts w:ascii="Times New Roman" w:hAnsi="Times New Roman" w:eastAsia="仿宋_GB2312" w:cs="Times New Roman"/>
          <w:b/>
          <w:color w:val="auto"/>
          <w:kern w:val="0"/>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kern w:val="0"/>
          <w:sz w:val="28"/>
          <w:szCs w:val="28"/>
          <w:highlight w:val="none"/>
        </w:rPr>
      </w:pPr>
    </w:p>
    <w:p>
      <w:pPr>
        <w:autoSpaceDE w:val="0"/>
        <w:autoSpaceDN w:val="0"/>
        <w:adjustRightInd w:val="0"/>
        <w:spacing w:line="570" w:lineRule="exact"/>
        <w:contextualSpacing/>
        <w:rPr>
          <w:rFonts w:ascii="Times New Roman" w:hAnsi="Times New Roman" w:eastAsia="方正小标宋简体" w:cs="Times New Roman"/>
          <w:color w:val="auto"/>
          <w:sz w:val="44"/>
          <w:szCs w:val="44"/>
          <w:highlight w:val="none"/>
        </w:rPr>
      </w:pPr>
    </w:p>
    <w:p>
      <w:pPr>
        <w:autoSpaceDE w:val="0"/>
        <w:autoSpaceDN w:val="0"/>
        <w:adjustRightInd w:val="0"/>
        <w:spacing w:line="640" w:lineRule="exact"/>
        <w:contextualSpacing/>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四川交投物流有限公司</w:t>
      </w:r>
    </w:p>
    <w:p>
      <w:pPr>
        <w:autoSpaceDE w:val="0"/>
        <w:autoSpaceDN w:val="0"/>
        <w:adjustRightInd w:val="0"/>
        <w:spacing w:line="640" w:lineRule="exact"/>
        <w:contextualSpacing/>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w:t>
      </w:r>
      <w:r>
        <w:rPr>
          <w:rFonts w:ascii="Times New Roman" w:hAnsi="Times New Roman" w:eastAsia="方正小标宋简体" w:cs="Times New Roman"/>
          <w:color w:val="auto"/>
          <w:sz w:val="44"/>
          <w:szCs w:val="44"/>
          <w:highlight w:val="none"/>
        </w:rPr>
        <w:t>E</w:t>
      </w:r>
      <w:r>
        <w:rPr>
          <w:rFonts w:hint="default" w:ascii="Times New Roman" w:hAnsi="Times New Roman" w:eastAsia="方正小标宋简体" w:cs="Times New Roman"/>
          <w:color w:val="auto"/>
          <w:sz w:val="44"/>
          <w:szCs w:val="44"/>
          <w:highlight w:val="none"/>
        </w:rPr>
        <w:t>购网”电子商城平台福利专区建设项目</w:t>
      </w:r>
    </w:p>
    <w:p>
      <w:pPr>
        <w:autoSpaceDE w:val="0"/>
        <w:autoSpaceDN w:val="0"/>
        <w:adjustRightInd w:val="0"/>
        <w:spacing w:line="570" w:lineRule="exact"/>
        <w:contextualSpacing/>
        <w:rPr>
          <w:rFonts w:ascii="Times New Roman" w:hAnsi="Times New Roman" w:eastAsia="仿宋_GB2312" w:cs="Times New Roman"/>
          <w:b/>
          <w:color w:val="auto"/>
          <w:kern w:val="0"/>
          <w:sz w:val="28"/>
          <w:szCs w:val="28"/>
          <w:highlight w:val="none"/>
          <w:lang w:val="zh-CN"/>
        </w:rPr>
      </w:pPr>
    </w:p>
    <w:p>
      <w:pPr>
        <w:autoSpaceDE w:val="0"/>
        <w:autoSpaceDN w:val="0"/>
        <w:adjustRightInd w:val="0"/>
        <w:spacing w:line="570" w:lineRule="exact"/>
        <w:contextualSpacing/>
        <w:rPr>
          <w:rFonts w:ascii="Times New Roman" w:hAnsi="Times New Roman" w:eastAsia="仿宋_GB2312" w:cs="Times New Roman"/>
          <w:b/>
          <w:color w:val="auto"/>
          <w:kern w:val="0"/>
          <w:sz w:val="28"/>
          <w:szCs w:val="28"/>
          <w:highlight w:val="none"/>
          <w:lang w:val="zh-CN"/>
        </w:rPr>
      </w:pPr>
      <w:r>
        <w:rPr>
          <w:rFonts w:hint="default" w:ascii="Times New Roman" w:hAnsi="Times New Roman" w:eastAsia="仿宋_GB2312" w:cs="Times New Roman"/>
          <w:b/>
          <w:color w:val="auto"/>
          <w:kern w:val="0"/>
          <w:sz w:val="28"/>
          <w:szCs w:val="28"/>
          <w:highlight w:val="none"/>
          <w:lang w:val="zh-CN"/>
        </w:rPr>
        <w:t xml:space="preserve">                                                                                                                                                           </w:t>
      </w:r>
    </w:p>
    <w:p>
      <w:pPr>
        <w:autoSpaceDE w:val="0"/>
        <w:autoSpaceDN w:val="0"/>
        <w:adjustRightInd w:val="0"/>
        <w:spacing w:line="570" w:lineRule="exact"/>
        <w:contextualSpacing/>
        <w:rPr>
          <w:rFonts w:ascii="Times New Roman" w:hAnsi="Times New Roman" w:eastAsia="仿宋_GB2312" w:cs="Times New Roman"/>
          <w:b/>
          <w:color w:val="auto"/>
          <w:kern w:val="0"/>
          <w:sz w:val="28"/>
          <w:szCs w:val="28"/>
          <w:highlight w:val="none"/>
          <w:lang w:val="zh-CN"/>
        </w:rPr>
      </w:pPr>
    </w:p>
    <w:p>
      <w:pPr>
        <w:autoSpaceDE w:val="0"/>
        <w:autoSpaceDN w:val="0"/>
        <w:adjustRightInd w:val="0"/>
        <w:spacing w:line="570" w:lineRule="exact"/>
        <w:ind w:firstLine="2640" w:firstLineChars="600"/>
        <w:contextualSpacing/>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比  选  文  件</w:t>
      </w:r>
    </w:p>
    <w:p>
      <w:pPr>
        <w:autoSpaceDE w:val="0"/>
        <w:autoSpaceDN w:val="0"/>
        <w:adjustRightInd w:val="0"/>
        <w:spacing w:line="570" w:lineRule="exact"/>
        <w:contextualSpacing/>
        <w:rPr>
          <w:rFonts w:ascii="Times New Roman" w:hAnsi="Times New Roman" w:eastAsia="仿宋_GB2312" w:cs="Times New Roman"/>
          <w:color w:val="auto"/>
          <w:kern w:val="0"/>
          <w:sz w:val="28"/>
          <w:szCs w:val="28"/>
          <w:highlight w:val="none"/>
          <w:lang w:val="zh-CN"/>
        </w:rPr>
      </w:pPr>
    </w:p>
    <w:p>
      <w:pPr>
        <w:autoSpaceDE w:val="0"/>
        <w:autoSpaceDN w:val="0"/>
        <w:adjustRightInd w:val="0"/>
        <w:spacing w:line="570" w:lineRule="exact"/>
        <w:contextualSpacing/>
        <w:rPr>
          <w:rFonts w:ascii="Times New Roman" w:hAnsi="Times New Roman" w:eastAsia="仿宋_GB2312" w:cs="Times New Roman"/>
          <w:color w:val="auto"/>
          <w:kern w:val="0"/>
          <w:sz w:val="28"/>
          <w:szCs w:val="28"/>
          <w:highlight w:val="none"/>
          <w:lang w:val="zh-CN"/>
        </w:rPr>
      </w:pPr>
    </w:p>
    <w:p>
      <w:pPr>
        <w:autoSpaceDE w:val="0"/>
        <w:autoSpaceDN w:val="0"/>
        <w:adjustRightInd w:val="0"/>
        <w:spacing w:line="570" w:lineRule="exact"/>
        <w:contextualSpacing/>
        <w:rPr>
          <w:rFonts w:ascii="Times New Roman" w:hAnsi="Times New Roman" w:eastAsia="仿宋_GB2312" w:cs="Times New Roman"/>
          <w:color w:val="auto"/>
          <w:kern w:val="0"/>
          <w:sz w:val="28"/>
          <w:szCs w:val="28"/>
          <w:highlight w:val="none"/>
          <w:lang w:val="zh-CN"/>
        </w:rPr>
      </w:pPr>
    </w:p>
    <w:p>
      <w:pPr>
        <w:autoSpaceDE w:val="0"/>
        <w:autoSpaceDN w:val="0"/>
        <w:adjustRightInd w:val="0"/>
        <w:spacing w:line="570" w:lineRule="exact"/>
        <w:contextualSpacing/>
        <w:rPr>
          <w:rFonts w:ascii="Times New Roman" w:hAnsi="Times New Roman" w:eastAsia="仿宋_GB2312" w:cs="Times New Roman"/>
          <w:color w:val="auto"/>
          <w:kern w:val="0"/>
          <w:sz w:val="28"/>
          <w:szCs w:val="28"/>
          <w:highlight w:val="none"/>
          <w:lang w:val="zh-CN"/>
        </w:rPr>
      </w:pPr>
    </w:p>
    <w:p>
      <w:pPr>
        <w:autoSpaceDE w:val="0"/>
        <w:autoSpaceDN w:val="0"/>
        <w:adjustRightInd w:val="0"/>
        <w:spacing w:line="570" w:lineRule="exact"/>
        <w:contextualSpacing/>
        <w:rPr>
          <w:rFonts w:ascii="Times New Roman" w:hAnsi="Times New Roman" w:eastAsia="仿宋_GB2312" w:cs="Times New Roman"/>
          <w:color w:val="auto"/>
          <w:kern w:val="0"/>
          <w:sz w:val="28"/>
          <w:szCs w:val="28"/>
          <w:highlight w:val="none"/>
          <w:lang w:val="zh-CN"/>
        </w:rPr>
      </w:pPr>
    </w:p>
    <w:p>
      <w:pPr>
        <w:autoSpaceDE w:val="0"/>
        <w:autoSpaceDN w:val="0"/>
        <w:adjustRightInd w:val="0"/>
        <w:spacing w:line="570" w:lineRule="exact"/>
        <w:contextualSpacing/>
        <w:rPr>
          <w:rFonts w:ascii="Times New Roman" w:hAnsi="Times New Roman" w:eastAsia="仿宋_GB2312" w:cs="Times New Roman"/>
          <w:color w:val="auto"/>
          <w:kern w:val="0"/>
          <w:sz w:val="28"/>
          <w:szCs w:val="28"/>
          <w:highlight w:val="none"/>
          <w:lang w:val="zh-CN"/>
        </w:rPr>
      </w:pPr>
    </w:p>
    <w:p>
      <w:pPr>
        <w:autoSpaceDE w:val="0"/>
        <w:autoSpaceDN w:val="0"/>
        <w:adjustRightInd w:val="0"/>
        <w:spacing w:line="570" w:lineRule="exact"/>
        <w:ind w:firstLine="1920" w:firstLineChars="600"/>
        <w:contextualSpacing/>
        <w:rPr>
          <w:rFonts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比选人：四川交投物流有限公司</w:t>
      </w:r>
    </w:p>
    <w:p>
      <w:pPr>
        <w:autoSpaceDE w:val="0"/>
        <w:autoSpaceDN w:val="0"/>
        <w:adjustRightInd w:val="0"/>
        <w:spacing w:line="570" w:lineRule="exact"/>
        <w:contextualSpacing/>
        <w:rPr>
          <w:rFonts w:ascii="Times New Roman" w:hAnsi="Times New Roman" w:eastAsia="方正小标宋简体" w:cs="Times New Roman"/>
          <w:color w:val="auto"/>
          <w:sz w:val="32"/>
          <w:szCs w:val="32"/>
          <w:highlight w:val="none"/>
        </w:rPr>
      </w:pPr>
    </w:p>
    <w:p>
      <w:pPr>
        <w:autoSpaceDE w:val="0"/>
        <w:autoSpaceDN w:val="0"/>
        <w:adjustRightInd w:val="0"/>
        <w:spacing w:line="570" w:lineRule="exact"/>
        <w:ind w:firstLine="3520" w:firstLineChars="1100"/>
        <w:contextualSpacing/>
        <w:rPr>
          <w:rFonts w:ascii="Times New Roman" w:hAnsi="Times New Roman" w:eastAsia="仿宋_GB2312" w:cs="Times New Roman"/>
          <w:b/>
          <w:bCs/>
          <w:color w:val="auto"/>
          <w:kern w:val="0"/>
          <w:sz w:val="28"/>
          <w:szCs w:val="28"/>
          <w:highlight w:val="none"/>
          <w:lang w:val="zh-CN"/>
        </w:rPr>
        <w:sectPr>
          <w:footerReference r:id="rId4" w:type="first"/>
          <w:footerReference r:id="rId3" w:type="default"/>
          <w:pgSz w:w="11906" w:h="16838"/>
          <w:pgMar w:top="1701" w:right="1531" w:bottom="1417" w:left="1587" w:header="851" w:footer="992" w:gutter="0"/>
          <w:cols w:space="720" w:num="1"/>
          <w:titlePg/>
          <w:docGrid w:type="lines" w:linePitch="312" w:charSpace="0"/>
        </w:sectPr>
      </w:pPr>
      <w:r>
        <w:rPr>
          <w:rFonts w:hint="default" w:ascii="Times New Roman" w:hAnsi="Times New Roman" w:eastAsia="方正小标宋简体" w:cs="Times New Roman"/>
          <w:color w:val="auto"/>
          <w:sz w:val="32"/>
          <w:szCs w:val="32"/>
          <w:highlight w:val="none"/>
        </w:rPr>
        <w:t>20</w:t>
      </w:r>
      <w:r>
        <w:rPr>
          <w:rFonts w:ascii="Times New Roman" w:hAnsi="Times New Roman" w:eastAsia="方正小标宋简体" w:cs="Times New Roman"/>
          <w:color w:val="auto"/>
          <w:sz w:val="32"/>
          <w:szCs w:val="32"/>
          <w:highlight w:val="none"/>
        </w:rPr>
        <w:t>2</w:t>
      </w:r>
      <w:r>
        <w:rPr>
          <w:rFonts w:hint="default" w:ascii="Times New Roman" w:hAnsi="Times New Roman" w:eastAsia="方正小标宋简体" w:cs="Times New Roman"/>
          <w:color w:val="auto"/>
          <w:sz w:val="32"/>
          <w:szCs w:val="32"/>
          <w:highlight w:val="none"/>
        </w:rPr>
        <w:t>1年6月</w:t>
      </w:r>
    </w:p>
    <w:p>
      <w:pPr>
        <w:spacing w:line="640" w:lineRule="exact"/>
        <w:contextualSpacing/>
        <w:jc w:val="center"/>
        <w:rPr>
          <w:rFonts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目  录</w:t>
      </w:r>
    </w:p>
    <w:sdt>
      <w:sdtPr>
        <w:rPr>
          <w:rFonts w:ascii="Times New Roman" w:hAnsi="Times New Roman" w:cs="Times New Roman" w:eastAsiaTheme="minorEastAsia"/>
          <w:color w:val="auto"/>
          <w:kern w:val="2"/>
          <w:sz w:val="24"/>
          <w:szCs w:val="24"/>
          <w:highlight w:val="none"/>
          <w:lang w:val="zh-CN"/>
        </w:rPr>
        <w:id w:val="617422261"/>
      </w:sdtPr>
      <w:sdtEndPr>
        <w:rPr>
          <w:rFonts w:ascii="Times New Roman" w:hAnsi="Times New Roman" w:cs="Times New Roman" w:eastAsiaTheme="minorEastAsia"/>
          <w:color w:val="auto"/>
          <w:kern w:val="2"/>
          <w:sz w:val="24"/>
          <w:szCs w:val="24"/>
          <w:highlight w:val="none"/>
          <w:lang w:val="zh-CN"/>
        </w:rPr>
      </w:sdtEndPr>
      <w:sdtContent>
        <w:p>
          <w:pPr>
            <w:pStyle w:val="24"/>
            <w:spacing w:line="360" w:lineRule="auto"/>
            <w:rPr>
              <w:rFonts w:ascii="Times New Roman" w:hAnsi="Times New Roman" w:cs="Times New Roman"/>
              <w:color w:val="auto"/>
              <w:sz w:val="24"/>
              <w:szCs w:val="24"/>
              <w:highlight w:val="none"/>
            </w:rPr>
          </w:pP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sz w:val="24"/>
              <w:highlight w:val="none"/>
            </w:rPr>
            <w:fldChar w:fldCharType="begin"/>
          </w:r>
          <w:r>
            <w:rPr>
              <w:rFonts w:ascii="Times New Roman" w:hAnsi="Times New Roman" w:cs="Times New Roman"/>
              <w:color w:val="auto"/>
              <w:sz w:val="24"/>
              <w:highlight w:val="none"/>
            </w:rPr>
            <w:instrText xml:space="preserve"> TOC \o "1-3" \h \z \u </w:instrText>
          </w:r>
          <w:r>
            <w:rPr>
              <w:rFonts w:ascii="Times New Roman" w:hAnsi="Times New Roman" w:cs="Times New Roman"/>
              <w:color w:val="auto"/>
              <w:sz w:val="24"/>
              <w:highlight w:val="none"/>
            </w:rPr>
            <w:fldChar w:fldCharType="separate"/>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"_Toc32759"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52"/>
              <w:highlight w:val="none"/>
            </w:rPr>
            <w:t>第一章 采购公告</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_Toc32759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"_Toc26494"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一、项目基本情况</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_Toc26494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"_Toc16211"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二、资格要求</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_Toc16211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7</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"_Toc773"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三、比选文件获取</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_Toc773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7</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"_Toc13071"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四、比选申请文件递交</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_Toc13071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8</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"_Toc23420"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五、联系方式</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_Toc23420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8</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"_Toc31430" </w:instrText>
          </w:r>
          <w:r>
            <w:rPr>
              <w:rFonts w:ascii="Times New Roman" w:hAnsi="Times New Roman" w:cs="Times New Roman"/>
              <w:color w:val="auto"/>
              <w:highlight w:val="none"/>
            </w:rPr>
            <w:fldChar w:fldCharType="separate"/>
          </w:r>
          <w:r>
            <w:rPr>
              <w:rFonts w:hint="default" w:ascii="Times New Roman" w:hAnsi="Times New Roman" w:eastAsia="黑体" w:cs="Times New Roman"/>
              <w:bCs/>
              <w:color w:val="auto"/>
              <w:kern w:val="44"/>
              <w:sz w:val="24"/>
              <w:szCs w:val="52"/>
              <w:highlight w:val="none"/>
              <w:lang w:val="zh-CN"/>
            </w:rPr>
            <w:t>第二章 比选申请人须知</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_Toc31430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10</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"_Toc19623" </w:instrText>
          </w:r>
          <w:r>
            <w:rPr>
              <w:rFonts w:ascii="Times New Roman" w:hAnsi="Times New Roman" w:cs="Times New Roman"/>
              <w:color w:val="auto"/>
              <w:highlight w:val="none"/>
            </w:rPr>
            <w:fldChar w:fldCharType="separate"/>
          </w:r>
          <w:r>
            <w:rPr>
              <w:rFonts w:hint="default" w:ascii="Times New Roman" w:hAnsi="Times New Roman" w:eastAsia="黑体" w:cs="Times New Roman"/>
              <w:bCs/>
              <w:color w:val="auto"/>
              <w:kern w:val="44"/>
              <w:sz w:val="24"/>
              <w:szCs w:val="52"/>
              <w:highlight w:val="none"/>
              <w:lang w:val="zh-CN"/>
            </w:rPr>
            <w:t>第三章 比选办法和标准</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_Toc19623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15</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"_Toc7025" </w:instrText>
          </w:r>
          <w:r>
            <w:rPr>
              <w:rFonts w:ascii="Times New Roman" w:hAnsi="Times New Roman" w:cs="Times New Roman"/>
              <w:color w:val="auto"/>
              <w:highlight w:val="none"/>
            </w:rPr>
            <w:fldChar w:fldCharType="separate"/>
          </w:r>
          <w:r>
            <w:rPr>
              <w:rFonts w:hint="default" w:ascii="Times New Roman" w:hAnsi="Times New Roman" w:eastAsia="黑体" w:cs="Times New Roman"/>
              <w:bCs/>
              <w:color w:val="auto"/>
              <w:kern w:val="44"/>
              <w:sz w:val="24"/>
              <w:szCs w:val="52"/>
              <w:highlight w:val="none"/>
              <w:lang w:val="zh-CN"/>
            </w:rPr>
            <w:t>第四章 比选程序</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_Toc7025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18</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"_Toc9918" </w:instrText>
          </w:r>
          <w:r>
            <w:rPr>
              <w:rFonts w:ascii="Times New Roman" w:hAnsi="Times New Roman" w:cs="Times New Roman"/>
              <w:color w:val="auto"/>
              <w:highlight w:val="none"/>
            </w:rPr>
            <w:fldChar w:fldCharType="separate"/>
          </w:r>
          <w:r>
            <w:rPr>
              <w:rFonts w:hint="default" w:ascii="Times New Roman" w:hAnsi="Times New Roman" w:eastAsia="黑体" w:cs="Times New Roman"/>
              <w:bCs/>
              <w:color w:val="auto"/>
              <w:kern w:val="44"/>
              <w:sz w:val="24"/>
              <w:szCs w:val="52"/>
              <w:highlight w:val="none"/>
              <w:lang w:val="zh-CN"/>
            </w:rPr>
            <w:t>第五章 主要合同条款</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_Toc9918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20</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"_Toc3848" </w:instrText>
          </w:r>
          <w:r>
            <w:rPr>
              <w:rFonts w:ascii="Times New Roman" w:hAnsi="Times New Roman" w:cs="Times New Roman"/>
              <w:color w:val="auto"/>
              <w:highlight w:val="none"/>
            </w:rPr>
            <w:fldChar w:fldCharType="separate"/>
          </w:r>
          <w:r>
            <w:rPr>
              <w:rFonts w:hint="default" w:ascii="Times New Roman" w:hAnsi="Times New Roman" w:eastAsia="黑体" w:cs="Times New Roman"/>
              <w:bCs/>
              <w:color w:val="auto"/>
              <w:kern w:val="44"/>
              <w:sz w:val="24"/>
              <w:szCs w:val="52"/>
              <w:highlight w:val="none"/>
              <w:lang w:val="zh-CN"/>
            </w:rPr>
            <w:t>第六章 运维服务保密协议</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_Toc3848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27</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0"/>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"_Toc9224" </w:instrText>
          </w:r>
          <w:r>
            <w:rPr>
              <w:rFonts w:ascii="Times New Roman" w:hAnsi="Times New Roman" w:cs="Times New Roman"/>
              <w:color w:val="auto"/>
              <w:highlight w:val="none"/>
            </w:rPr>
            <w:fldChar w:fldCharType="separate"/>
          </w:r>
          <w:r>
            <w:rPr>
              <w:rFonts w:hint="default" w:ascii="Times New Roman" w:hAnsi="Times New Roman" w:eastAsia="黑体" w:cs="Times New Roman"/>
              <w:bCs/>
              <w:color w:val="auto"/>
              <w:kern w:val="44"/>
              <w:sz w:val="24"/>
              <w:szCs w:val="52"/>
              <w:highlight w:val="none"/>
              <w:lang w:val="zh-CN"/>
            </w:rPr>
            <w:t>第七章 比选申请文件格式</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_Toc9224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35</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"_Toc30235"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一、比选申请书格式</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_Toc30235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35</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"_Toc7322"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二、法定代表人授权书格式</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_Toc7322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36</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"_Toc9001"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三、企业简介</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_Toc9001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37</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"_Toc28870"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四、实施方案</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_Toc28870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38</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"_Toc13764"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五、项目小组构成及成员基本情况</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_Toc13764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40</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"_Toc10295"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六、报价函</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_Toc10295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41</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"_Toc27590"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七、报价明细表</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_Toc27590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42</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"_Toc29400"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八、比选承诺书</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_Toc29400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43</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"_Toc16661"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九、保密承诺函</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_Toc16661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44</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"_Toc25071"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十、运营服务能力证明</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_Toc25071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45</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"_Toc31452"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十一、业绩证明</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_Toc31452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46</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12" w:lineRule="auto"/>
            <w:rPr>
              <w:rFonts w:ascii="Times New Roman" w:hAnsi="Times New Roman" w:eastAsia="黑体" w:cs="Times New Roman"/>
              <w:color w:val="auto"/>
              <w:sz w:val="24"/>
              <w:szCs w:val="3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"_Toc8982"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十二、经营状况承诺书</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_Toc8982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47</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pStyle w:val="11"/>
            <w:tabs>
              <w:tab w:val="right" w:leader="dot" w:pos="9071"/>
            </w:tabs>
            <w:spacing w:line="360" w:lineRule="auto"/>
            <w:rPr>
              <w:rFonts w:ascii="Times New Roman" w:hAnsi="Times New Roman" w:cs="Times New Roman"/>
              <w:color w:val="auto"/>
              <w:sz w:val="24"/>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"_Toc24854" </w:instrText>
          </w:r>
          <w:r>
            <w:rPr>
              <w:rFonts w:ascii="Times New Roman" w:hAnsi="Times New Roman" w:cs="Times New Roman"/>
              <w:color w:val="auto"/>
              <w:highlight w:val="none"/>
            </w:rPr>
            <w:fldChar w:fldCharType="separate"/>
          </w:r>
          <w:r>
            <w:rPr>
              <w:rFonts w:hint="default" w:ascii="Times New Roman" w:hAnsi="Times New Roman" w:eastAsia="黑体" w:cs="Times New Roman"/>
              <w:color w:val="auto"/>
              <w:sz w:val="24"/>
              <w:szCs w:val="40"/>
              <w:highlight w:val="none"/>
            </w:rPr>
            <w:t>十三、其他</w:t>
          </w:r>
          <w:r>
            <w:rPr>
              <w:rFonts w:hint="default" w:ascii="Times New Roman" w:hAnsi="Times New Roman" w:eastAsia="黑体" w:cs="Times New Roman"/>
              <w:color w:val="auto"/>
              <w:sz w:val="24"/>
              <w:szCs w:val="32"/>
              <w:highlight w:val="none"/>
            </w:rPr>
            <w:tab/>
          </w:r>
          <w:r>
            <w:rPr>
              <w:rFonts w:hint="default" w:ascii="Times New Roman" w:hAnsi="Times New Roman" w:eastAsia="黑体" w:cs="Times New Roman"/>
              <w:color w:val="auto"/>
              <w:sz w:val="24"/>
              <w:szCs w:val="32"/>
              <w:highlight w:val="none"/>
            </w:rPr>
            <w:fldChar w:fldCharType="begin"/>
          </w:r>
          <w:r>
            <w:rPr>
              <w:rFonts w:hint="default" w:ascii="Times New Roman" w:hAnsi="Times New Roman" w:eastAsia="黑体" w:cs="Times New Roman"/>
              <w:color w:val="auto"/>
              <w:sz w:val="24"/>
              <w:szCs w:val="32"/>
              <w:highlight w:val="none"/>
            </w:rPr>
            <w:instrText xml:space="preserve"> PAGEREF _Toc24854 \h </w:instrText>
          </w:r>
          <w:r>
            <w:rPr>
              <w:rFonts w:hint="default" w:ascii="Times New Roman" w:hAnsi="Times New Roman" w:eastAsia="黑体" w:cs="Times New Roman"/>
              <w:color w:val="auto"/>
              <w:sz w:val="24"/>
              <w:szCs w:val="32"/>
              <w:highlight w:val="none"/>
            </w:rPr>
            <w:fldChar w:fldCharType="separate"/>
          </w:r>
          <w:r>
            <w:rPr>
              <w:rFonts w:hint="default" w:ascii="Times New Roman" w:hAnsi="Times New Roman" w:eastAsia="黑体" w:cs="Times New Roman"/>
              <w:color w:val="auto"/>
              <w:sz w:val="24"/>
              <w:szCs w:val="32"/>
              <w:highlight w:val="none"/>
            </w:rPr>
            <w:t>48</w:t>
          </w:r>
          <w:r>
            <w:rPr>
              <w:rFonts w:hint="default" w:ascii="Times New Roman" w:hAnsi="Times New Roman" w:eastAsia="黑体" w:cs="Times New Roman"/>
              <w:color w:val="auto"/>
              <w:sz w:val="24"/>
              <w:szCs w:val="32"/>
              <w:highlight w:val="none"/>
            </w:rPr>
            <w:fldChar w:fldCharType="end"/>
          </w:r>
          <w:r>
            <w:rPr>
              <w:rFonts w:hint="default" w:ascii="Times New Roman" w:hAnsi="Times New Roman" w:eastAsia="黑体" w:cs="Times New Roman"/>
              <w:color w:val="auto"/>
              <w:sz w:val="24"/>
              <w:szCs w:val="32"/>
              <w:highlight w:val="none"/>
            </w:rPr>
            <w:fldChar w:fldCharType="end"/>
          </w:r>
        </w:p>
        <w:p>
          <w:pPr>
            <w:spacing w:line="360" w:lineRule="auto"/>
            <w:rPr>
              <w:rFonts w:ascii="Times New Roman" w:hAnsi="Times New Roman" w:cs="Times New Roman"/>
              <w:color w:val="auto"/>
              <w:highlight w:val="none"/>
            </w:rPr>
          </w:pPr>
          <w:r>
            <w:rPr>
              <w:rFonts w:ascii="Times New Roman" w:hAnsi="Times New Roman" w:cs="Times New Roman"/>
              <w:b/>
              <w:bCs/>
              <w:color w:val="auto"/>
              <w:sz w:val="24"/>
              <w:highlight w:val="none"/>
              <w:lang w:val="zh-CN"/>
            </w:rPr>
            <w:fldChar w:fldCharType="end"/>
          </w:r>
        </w:p>
      </w:sdtContent>
    </w:sdt>
    <w:p>
      <w:pPr>
        <w:widowControl/>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rPr>
          <w:rFonts w:ascii="Times New Roman" w:hAnsi="Times New Roman" w:cs="Times New Roman"/>
          <w:color w:val="auto"/>
          <w:highlight w:val="none"/>
        </w:rPr>
      </w:pPr>
    </w:p>
    <w:p>
      <w:pPr>
        <w:pStyle w:val="3"/>
        <w:numPr>
          <w:ilvl w:val="0"/>
          <w:numId w:val="2"/>
        </w:numPr>
        <w:spacing w:before="0" w:after="0" w:line="570" w:lineRule="exact"/>
        <w:contextualSpacing/>
        <w:rPr>
          <w:rFonts w:ascii="Times New Roman" w:hAnsi="Times New Roman" w:eastAsia="方正小标宋简体" w:cs="Times New Roman"/>
          <w:color w:val="auto"/>
          <w:sz w:val="44"/>
          <w:szCs w:val="44"/>
          <w:highlight w:val="none"/>
        </w:rPr>
      </w:pPr>
      <w:bookmarkStart w:id="0" w:name="_Toc38447183"/>
      <w:bookmarkStart w:id="1" w:name="_Toc32446"/>
      <w:bookmarkStart w:id="2" w:name="_Toc2320"/>
      <w:bookmarkStart w:id="3" w:name="_Toc1301420"/>
      <w:bookmarkStart w:id="4" w:name="_Toc282823809"/>
      <w:bookmarkStart w:id="5" w:name="_Toc282843635"/>
      <w:r>
        <w:rPr>
          <w:rFonts w:hint="default" w:ascii="Times New Roman" w:hAnsi="Times New Roman" w:eastAsia="方正小标宋简体" w:cs="Times New Roman"/>
          <w:color w:val="auto"/>
          <w:sz w:val="44"/>
          <w:szCs w:val="44"/>
          <w:highlight w:val="none"/>
        </w:rPr>
        <w:t>采购公告</w:t>
      </w:r>
      <w:bookmarkEnd w:id="0"/>
      <w:bookmarkEnd w:id="1"/>
      <w:bookmarkEnd w:id="2"/>
    </w:p>
    <w:p>
      <w:pPr>
        <w:rPr>
          <w:rFonts w:ascii="Times New Roman" w:hAnsi="Times New Roman" w:cs="Times New Roman"/>
          <w:color w:val="auto"/>
          <w:highlight w:val="none"/>
          <w:lang w:val="zh-CN"/>
        </w:rPr>
      </w:pPr>
    </w:p>
    <w:bookmarkEnd w:id="3"/>
    <w:p>
      <w:pPr>
        <w:spacing w:line="600" w:lineRule="exact"/>
        <w:ind w:firstLine="560" w:firstLineChars="200"/>
        <w:rPr>
          <w:rFonts w:ascii="Times New Roman" w:hAnsi="Times New Roman" w:eastAsia="仿宋_GB2312" w:cs="Times New Roman"/>
          <w:color w:val="auto"/>
          <w:sz w:val="28"/>
          <w:szCs w:val="28"/>
          <w:highlight w:val="none"/>
        </w:rPr>
      </w:pPr>
      <w:bookmarkStart w:id="6" w:name="_Toc448516843"/>
      <w:bookmarkStart w:id="7" w:name="_Toc1301422"/>
      <w:r>
        <w:rPr>
          <w:rFonts w:hint="default" w:ascii="Times New Roman" w:hAnsi="Times New Roman" w:eastAsia="仿宋_GB2312" w:cs="Times New Roman"/>
          <w:color w:val="auto"/>
          <w:sz w:val="28"/>
          <w:szCs w:val="28"/>
          <w:highlight w:val="none"/>
        </w:rPr>
        <w:t>四川交投物流有限公司（以下简称：“比选人”、“交投物流公司”或“公司”）拟公开比选“</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购网”电子商城平台福利专区软件建设工作。现将公开比选“</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”电子商城平台福利专区软件建设项目的有关事项公告如下：</w:t>
      </w:r>
    </w:p>
    <w:p>
      <w:pPr>
        <w:spacing w:line="600" w:lineRule="exact"/>
        <w:outlineLvl w:val="1"/>
        <w:rPr>
          <w:rFonts w:ascii="Times New Roman" w:hAnsi="Times New Roman" w:eastAsia="黑体" w:cs="Times New Roman"/>
          <w:color w:val="auto"/>
          <w:sz w:val="32"/>
          <w:szCs w:val="32"/>
          <w:highlight w:val="none"/>
        </w:rPr>
      </w:pPr>
      <w:bookmarkStart w:id="8" w:name="_Toc22403"/>
      <w:bookmarkStart w:id="9" w:name="_Toc22118"/>
      <w:bookmarkStart w:id="10" w:name="_Toc38447184"/>
      <w:r>
        <w:rPr>
          <w:rFonts w:hint="default" w:ascii="Times New Roman" w:hAnsi="Times New Roman" w:eastAsia="黑体" w:cs="Times New Roman"/>
          <w:color w:val="auto"/>
          <w:sz w:val="32"/>
          <w:szCs w:val="32"/>
          <w:highlight w:val="none"/>
        </w:rPr>
        <w:t>一、</w:t>
      </w:r>
      <w:bookmarkEnd w:id="6"/>
      <w:bookmarkEnd w:id="7"/>
      <w:bookmarkStart w:id="11" w:name="_Toc448516844"/>
      <w:bookmarkStart w:id="12" w:name="_Toc1301423"/>
      <w:r>
        <w:rPr>
          <w:rFonts w:hint="default" w:ascii="Times New Roman" w:hAnsi="Times New Roman" w:eastAsia="黑体" w:cs="Times New Roman"/>
          <w:color w:val="auto"/>
          <w:sz w:val="32"/>
          <w:szCs w:val="32"/>
          <w:highlight w:val="none"/>
        </w:rPr>
        <w:t>项目基本情况</w:t>
      </w:r>
      <w:bookmarkEnd w:id="8"/>
      <w:bookmarkEnd w:id="9"/>
      <w:bookmarkEnd w:id="10"/>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楷体" w:cs="Times New Roman"/>
          <w:color w:val="auto"/>
          <w:sz w:val="28"/>
          <w:szCs w:val="28"/>
          <w:highlight w:val="none"/>
        </w:rPr>
        <w:t>（一）项目名称：</w:t>
      </w:r>
      <w:r>
        <w:rPr>
          <w:rFonts w:hint="default" w:ascii="Times New Roman" w:hAnsi="Times New Roman" w:eastAsia="仿宋_GB2312" w:cs="Times New Roman"/>
          <w:color w:val="auto"/>
          <w:sz w:val="28"/>
          <w:szCs w:val="28"/>
          <w:highlight w:val="none"/>
        </w:rPr>
        <w:t>四川交投物流有限公司“E购网”电子商城平台福利专区建设项目</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楷体" w:cs="Times New Roman"/>
          <w:color w:val="auto"/>
          <w:sz w:val="28"/>
          <w:szCs w:val="28"/>
          <w:highlight w:val="none"/>
        </w:rPr>
        <w:t>（二</w:t>
      </w:r>
      <w:r>
        <w:rPr>
          <w:rFonts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rPr>
        <w:t>比选范围：</w:t>
      </w:r>
      <w:r>
        <w:rPr>
          <w:rFonts w:hint="default" w:ascii="Times New Roman" w:hAnsi="Times New Roman" w:eastAsia="仿宋_GB2312" w:cs="Times New Roman"/>
          <w:color w:val="auto"/>
          <w:sz w:val="28"/>
          <w:szCs w:val="28"/>
          <w:highlight w:val="none"/>
        </w:rPr>
        <w:t>四川交投物流有限公司采购“E购网”电子商城平台福利专区软件定制开发。</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楷体" w:cs="Times New Roman"/>
          <w:color w:val="auto"/>
          <w:sz w:val="28"/>
          <w:szCs w:val="28"/>
          <w:highlight w:val="none"/>
        </w:rPr>
        <w:t>（三）项目目标：</w:t>
      </w:r>
    </w:p>
    <w:p>
      <w:pPr>
        <w:spacing w:line="600" w:lineRule="exact"/>
        <w:ind w:firstLine="42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了加强蜀道集团对企业福利管理全流程透明化可追溯的管控能力,提升蜀道集团及各分子公司福利服务能力，增强党群群团工作粘性，提高职工的幸福感和获得感，同时也为了让“E购网”电子商城平台拥有更强大的市场化竞争力，并能够顺利推动“E购网”电子商城平台进入竞争性的外部市场。</w:t>
      </w:r>
    </w:p>
    <w:p>
      <w:pPr>
        <w:spacing w:line="600" w:lineRule="exact"/>
        <w:ind w:firstLine="560" w:firstLineChars="200"/>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（四）项目主要内容：</w:t>
      </w:r>
    </w:p>
    <w:p>
      <w:pPr>
        <w:spacing w:line="600" w:lineRule="exact"/>
        <w:ind w:firstLine="42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1.项目主要内容：</w:t>
      </w:r>
    </w:p>
    <w:p>
      <w:pPr>
        <w:spacing w:line="600" w:lineRule="exact"/>
        <w:ind w:firstLine="42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项目开发主要内容：包括但不限于需求调研、业务分析、深化设计、接口开发及互联、系统部署、调试校验、开通服务、维护服务、软件升级、培训服务、新入围电商接入等各阶段的相关工作。中选人应将其程序代码部署在比选人指定的云服务器上，同时负责“</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购网”电子商城平台福利专区的后期功能迭代维护工作。</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协助</w:t>
      </w:r>
      <w:r>
        <w:rPr>
          <w:rFonts w:hint="eastAsia" w:ascii="Times New Roman" w:hAnsi="Times New Roman" w:eastAsia="仿宋_GB2312" w:cs="Times New Roman"/>
          <w:color w:val="auto"/>
          <w:sz w:val="28"/>
          <w:szCs w:val="28"/>
          <w:highlight w:val="none"/>
          <w:lang w:val="en-US" w:eastAsia="zh-CN"/>
        </w:rPr>
        <w:t>E</w:t>
      </w:r>
      <w:r>
        <w:rPr>
          <w:rFonts w:hint="default" w:ascii="Times New Roman" w:hAnsi="Times New Roman" w:eastAsia="仿宋_GB2312" w:cs="Times New Roman"/>
          <w:color w:val="auto"/>
          <w:sz w:val="28"/>
          <w:szCs w:val="28"/>
          <w:highlight w:val="none"/>
        </w:rPr>
        <w:t>购网平台管理部门，开展福利版块运营管理服务：包括免费协助“E购网”电子商城平台福利专区管理部门的运营管理服务，包括但不限于提供多样化的福利发放使用方式、线上线下服务应用场景打造、对内对外的营销推广、系统运营、售前售后支持、物流配送、服务能力提升、福利供应商管理、支付通道服务、技术支持、功能页面优化等服务。</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2.报价条件：</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（1）建设费用结算模式：平台福利专区开发建设费用以平台福利专区运营后提取的交易提成支付结算，参与响应本次比选的平台开发企业视同其接受上述支付结算模式。</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（2）报价方式：平台福利专区开发及建设费用报价为（大写）_______元（小写：_______元，为含税价）人民币。其中，最高限价：平台福利专区开发及建设费用报价的最高限价为</w:t>
      </w:r>
      <w:r>
        <w:rPr>
          <w:rFonts w:hint="default"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US" w:eastAsia="zh-CN"/>
        </w:rPr>
        <w:t>48</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万元。</w:t>
      </w:r>
      <w:r>
        <w:rPr>
          <w:rFonts w:ascii="Times New Roman" w:hAnsi="Times New Roman" w:eastAsia="仿宋_GB2312" w:cs="Times New Roman"/>
          <w:color w:val="auto"/>
          <w:sz w:val="28"/>
          <w:szCs w:val="28"/>
          <w:highlight w:val="none"/>
        </w:rPr>
        <w:t xml:space="preserve"> </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购网”电子商城平台福利专区开始运营后，本次比选中选人即可成为四川交投物流有限公司“</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”电子商城平台福利专区的协助运营方</w:t>
      </w:r>
      <w:r>
        <w:rPr>
          <w:rFonts w:hint="eastAsia" w:ascii="Times New Roman" w:hAnsi="Times New Roman" w:eastAsia="仿宋_GB2312" w:cs="Times New Roman"/>
          <w:color w:val="auto"/>
          <w:sz w:val="28"/>
          <w:szCs w:val="28"/>
          <w:highlight w:val="none"/>
          <w:lang w:eastAsia="zh-CN"/>
        </w:rPr>
        <w:t>和入驻供应商之一</w:t>
      </w:r>
      <w:r>
        <w:rPr>
          <w:rFonts w:hint="default" w:ascii="Times New Roman" w:hAnsi="Times New Roman" w:eastAsia="仿宋_GB2312" w:cs="Times New Roman"/>
          <w:color w:val="auto"/>
          <w:sz w:val="28"/>
          <w:szCs w:val="28"/>
          <w:highlight w:val="none"/>
        </w:rPr>
        <w:t>。</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（4）在“</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”电子商城福利专区正式运营后，比选人将对中选人依据福利专区各类福利产品的交易额按相应比例提取交易提成。</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（5）平台福利专区建设开发费用抵扣模式：</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中选人的福利专区建设开发费用在比选人提取的交易提成中进行抵扣，对中选人的开发费用抵扣金额设定最高的抵扣限额（该最高的抵扣限额等于平台福利专区开发建设费用报价），比选人按照福利专区的交易提成比例分周期预先提取交易提成，累计的交易提成达到最高的抵扣限额前，比选人提取的福利专区的交易提成分周期予以返还。当累计的交易提成超过限额后，比选人对福利专区的交易提成进行正常提取。如果1</w:t>
      </w:r>
      <w:r>
        <w:rPr>
          <w:rFonts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rPr>
        <w:t>个月内（自中选人正式入驻比选人电子商城平台之日起算）中选人累计的交易提成没有达到本合同约定的建设开发合同总价，中选人自动放弃建设开发合同总价的剩余款项，比选人不再支付建设开发费用，比选人将在第1</w:t>
      </w:r>
      <w:r>
        <w:rPr>
          <w:rFonts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rPr>
        <w:t>个月起（自中选人正式入驻比选人电子商城平台之日起算）按照约定提成比例进行交易提成提取。</w:t>
      </w:r>
    </w:p>
    <w:p>
      <w:pPr>
        <w:spacing w:line="600" w:lineRule="exact"/>
        <w:ind w:firstLine="560" w:firstLineChars="200"/>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（五）“</w:t>
      </w:r>
      <w:r>
        <w:rPr>
          <w:rFonts w:ascii="Times New Roman" w:hAnsi="Times New Roman" w:eastAsia="楷体" w:cs="Times New Roman"/>
          <w:color w:val="auto"/>
          <w:sz w:val="28"/>
          <w:szCs w:val="28"/>
          <w:highlight w:val="none"/>
        </w:rPr>
        <w:t>E</w:t>
      </w:r>
      <w:r>
        <w:rPr>
          <w:rFonts w:hint="default" w:ascii="Times New Roman" w:hAnsi="Times New Roman" w:eastAsia="楷体" w:cs="Times New Roman"/>
          <w:color w:val="auto"/>
          <w:sz w:val="28"/>
          <w:szCs w:val="28"/>
          <w:highlight w:val="none"/>
        </w:rPr>
        <w:t>购网”电子</w:t>
      </w:r>
      <w:r>
        <w:rPr>
          <w:rFonts w:hint="default" w:ascii="Times New Roman" w:hAnsi="Times New Roman" w:eastAsia="仿宋_GB2312" w:cs="Times New Roman"/>
          <w:color w:val="auto"/>
          <w:sz w:val="28"/>
          <w:szCs w:val="28"/>
          <w:highlight w:val="none"/>
        </w:rPr>
        <w:t>商城</w:t>
      </w:r>
      <w:r>
        <w:rPr>
          <w:rFonts w:hint="default" w:ascii="Times New Roman" w:hAnsi="Times New Roman" w:eastAsia="楷体" w:cs="Times New Roman"/>
          <w:color w:val="auto"/>
          <w:sz w:val="28"/>
          <w:szCs w:val="28"/>
          <w:highlight w:val="none"/>
        </w:rPr>
        <w:t>平台福利专区主要功能</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“E购网”电子商城平台福利专区应具有开放式标准化接口，可以与企业内部的多种管理系统（例如大数据中心、ERP系统、用友NC系统等）进行对接和数据交互，实现多种软件系统的集成。</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”电子商城平台福利专区的开发建设内容主要包含以下四部分：福利集采商城企业端（</w:t>
      </w:r>
      <w:r>
        <w:rPr>
          <w:rFonts w:ascii="Times New Roman" w:hAnsi="Times New Roman" w:eastAsia="仿宋_GB2312" w:cs="Times New Roman"/>
          <w:color w:val="auto"/>
          <w:sz w:val="28"/>
          <w:szCs w:val="28"/>
          <w:highlight w:val="none"/>
        </w:rPr>
        <w:t>WEB版</w:t>
      </w:r>
      <w:r>
        <w:rPr>
          <w:rFonts w:hint="default" w:ascii="Times New Roman" w:hAnsi="Times New Roman" w:eastAsia="仿宋_GB2312" w:cs="Times New Roman"/>
          <w:color w:val="auto"/>
          <w:sz w:val="28"/>
          <w:szCs w:val="28"/>
          <w:highlight w:val="none"/>
        </w:rPr>
        <w:t>）、福利集采商城（</w:t>
      </w:r>
      <w:r>
        <w:rPr>
          <w:rFonts w:ascii="Times New Roman" w:hAnsi="Times New Roman" w:eastAsia="仿宋_GB2312" w:cs="Times New Roman"/>
          <w:color w:val="auto"/>
          <w:sz w:val="28"/>
          <w:szCs w:val="28"/>
          <w:highlight w:val="none"/>
        </w:rPr>
        <w:t>WEB版</w:t>
      </w:r>
      <w:r>
        <w:rPr>
          <w:rFonts w:hint="default" w:ascii="Times New Roman" w:hAnsi="Times New Roman" w:eastAsia="仿宋_GB2312" w:cs="Times New Roman"/>
          <w:color w:val="auto"/>
          <w:sz w:val="28"/>
          <w:szCs w:val="28"/>
          <w:highlight w:val="none"/>
        </w:rPr>
        <w:t>）、福利集采商城</w:t>
      </w:r>
      <w:r>
        <w:rPr>
          <w:rFonts w:ascii="Times New Roman" w:hAnsi="Times New Roman" w:eastAsia="仿宋_GB2312" w:cs="Times New Roman"/>
          <w:color w:val="auto"/>
          <w:sz w:val="28"/>
          <w:szCs w:val="28"/>
          <w:highlight w:val="none"/>
        </w:rPr>
        <w:t>APP、福利集采商城H5。</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主要功能如下：</w:t>
      </w:r>
    </w:p>
    <w:p>
      <w:pPr>
        <w:pStyle w:val="23"/>
        <w:numPr>
          <w:ilvl w:val="0"/>
          <w:numId w:val="3"/>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福利集采商城企业端（</w:t>
      </w:r>
      <w:r>
        <w:rPr>
          <w:rFonts w:ascii="Times New Roman" w:hAnsi="Times New Roman" w:eastAsia="仿宋_GB2312" w:cs="Times New Roman"/>
          <w:color w:val="auto"/>
          <w:sz w:val="28"/>
          <w:szCs w:val="28"/>
          <w:highlight w:val="none"/>
        </w:rPr>
        <w:t>WEB版</w:t>
      </w:r>
      <w:r>
        <w:rPr>
          <w:rFonts w:hint="default" w:ascii="Times New Roman" w:hAnsi="Times New Roman" w:eastAsia="仿宋_GB2312" w:cs="Times New Roman"/>
          <w:color w:val="auto"/>
          <w:sz w:val="28"/>
          <w:szCs w:val="28"/>
          <w:highlight w:val="none"/>
        </w:rPr>
        <w:t>），包括系统管理、商品管理、</w:t>
      </w:r>
      <w:r>
        <w:rPr>
          <w:rFonts w:ascii="Times New Roman" w:hAnsi="Times New Roman" w:eastAsia="仿宋_GB2312" w:cs="Times New Roman"/>
          <w:color w:val="auto"/>
          <w:sz w:val="28"/>
          <w:szCs w:val="28"/>
          <w:highlight w:val="none"/>
        </w:rPr>
        <w:t>WEB商城</w:t>
      </w:r>
      <w:r>
        <w:rPr>
          <w:rFonts w:hint="default" w:ascii="Times New Roman" w:hAnsi="Times New Roman" w:eastAsia="仿宋_GB2312" w:cs="Times New Roman"/>
          <w:color w:val="auto"/>
          <w:sz w:val="28"/>
          <w:szCs w:val="28"/>
          <w:highlight w:val="none"/>
        </w:rPr>
        <w:t>管理</w:t>
      </w:r>
      <w:r>
        <w:rPr>
          <w:rFonts w:ascii="Times New Roman" w:hAnsi="Times New Roman" w:eastAsia="仿宋_GB2312" w:cs="Times New Roman"/>
          <w:color w:val="auto"/>
          <w:sz w:val="28"/>
          <w:szCs w:val="28"/>
          <w:highlight w:val="none"/>
        </w:rPr>
        <w:t>、H5/APP商城</w:t>
      </w:r>
      <w:r>
        <w:rPr>
          <w:rFonts w:hint="default" w:ascii="Times New Roman" w:hAnsi="Times New Roman" w:eastAsia="仿宋_GB2312" w:cs="Times New Roman"/>
          <w:color w:val="auto"/>
          <w:sz w:val="28"/>
          <w:szCs w:val="28"/>
          <w:highlight w:val="none"/>
        </w:rPr>
        <w:t>管理</w:t>
      </w:r>
      <w:r>
        <w:rPr>
          <w:rFonts w:ascii="Times New Roman" w:hAnsi="Times New Roman" w:eastAsia="仿宋_GB2312" w:cs="Times New Roman"/>
          <w:color w:val="auto"/>
          <w:sz w:val="28"/>
          <w:szCs w:val="28"/>
          <w:highlight w:val="none"/>
        </w:rPr>
        <w:t>、供应商管理、订单管理、福利发放</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报表管理</w:t>
      </w:r>
      <w:r>
        <w:rPr>
          <w:rFonts w:hint="default" w:ascii="Times New Roman" w:hAnsi="Times New Roman" w:eastAsia="仿宋_GB2312" w:cs="Times New Roman"/>
          <w:color w:val="auto"/>
          <w:sz w:val="28"/>
          <w:szCs w:val="28"/>
          <w:highlight w:val="none"/>
        </w:rPr>
        <w:t>等。</w:t>
      </w:r>
    </w:p>
    <w:p>
      <w:pPr>
        <w:pStyle w:val="23"/>
        <w:numPr>
          <w:ilvl w:val="0"/>
          <w:numId w:val="3"/>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福利集采商城（</w:t>
      </w:r>
      <w:r>
        <w:rPr>
          <w:rFonts w:ascii="Times New Roman" w:hAnsi="Times New Roman" w:eastAsia="仿宋_GB2312" w:cs="Times New Roman"/>
          <w:color w:val="auto"/>
          <w:sz w:val="28"/>
          <w:szCs w:val="28"/>
          <w:highlight w:val="none"/>
        </w:rPr>
        <w:t>WEB版</w:t>
      </w:r>
      <w:r>
        <w:rPr>
          <w:rFonts w:hint="default" w:ascii="Times New Roman" w:hAnsi="Times New Roman" w:eastAsia="仿宋_GB2312" w:cs="Times New Roman"/>
          <w:color w:val="auto"/>
          <w:sz w:val="28"/>
          <w:szCs w:val="28"/>
          <w:highlight w:val="none"/>
        </w:rPr>
        <w:t>），包括订单管理、</w:t>
      </w:r>
      <w:r>
        <w:rPr>
          <w:rFonts w:ascii="Times New Roman" w:hAnsi="Times New Roman" w:eastAsia="仿宋_GB2312" w:cs="Times New Roman"/>
          <w:color w:val="auto"/>
          <w:sz w:val="28"/>
          <w:szCs w:val="28"/>
          <w:highlight w:val="none"/>
        </w:rPr>
        <w:t>banner轮播图、</w:t>
      </w:r>
      <w:r>
        <w:rPr>
          <w:rFonts w:hint="default" w:ascii="Times New Roman" w:hAnsi="Times New Roman" w:eastAsia="仿宋_GB2312" w:cs="Times New Roman"/>
          <w:color w:val="auto"/>
          <w:sz w:val="28"/>
          <w:szCs w:val="28"/>
          <w:highlight w:val="none"/>
        </w:rPr>
        <w:t>商品分类及展示、条件筛选、收藏夹、购物车管理、订单管理、公告展示等。</w:t>
      </w:r>
    </w:p>
    <w:p>
      <w:pPr>
        <w:pStyle w:val="23"/>
        <w:numPr>
          <w:ilvl w:val="0"/>
          <w:numId w:val="3"/>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福利集采商城</w:t>
      </w:r>
      <w:r>
        <w:rPr>
          <w:rFonts w:ascii="Times New Roman" w:hAnsi="Times New Roman" w:eastAsia="仿宋_GB2312" w:cs="Times New Roman"/>
          <w:color w:val="auto"/>
          <w:sz w:val="28"/>
          <w:szCs w:val="28"/>
          <w:highlight w:val="none"/>
        </w:rPr>
        <w:t>APP</w:t>
      </w:r>
      <w:r>
        <w:rPr>
          <w:rFonts w:hint="default" w:ascii="Times New Roman" w:hAnsi="Times New Roman" w:eastAsia="仿宋_GB2312" w:cs="Times New Roman"/>
          <w:color w:val="auto"/>
          <w:sz w:val="28"/>
          <w:szCs w:val="28"/>
          <w:highlight w:val="none"/>
        </w:rPr>
        <w:t>，包括</w:t>
      </w:r>
      <w:r>
        <w:rPr>
          <w:rFonts w:ascii="Times New Roman" w:hAnsi="Times New Roman" w:eastAsia="仿宋_GB2312" w:cs="Times New Roman"/>
          <w:color w:val="auto"/>
          <w:sz w:val="28"/>
          <w:szCs w:val="28"/>
          <w:highlight w:val="none"/>
        </w:rPr>
        <w:t>banner轮播图</w:t>
      </w:r>
      <w:r>
        <w:rPr>
          <w:rFonts w:hint="default" w:ascii="Times New Roman" w:hAnsi="Times New Roman" w:eastAsia="仿宋_GB2312" w:cs="Times New Roman"/>
          <w:color w:val="auto"/>
          <w:sz w:val="28"/>
          <w:szCs w:val="28"/>
          <w:highlight w:val="none"/>
        </w:rPr>
        <w:t>、首页弹窗、商品分类及展示、商品筛选、购物车管理、用户信息、订单管理、消息管理等。</w:t>
      </w:r>
    </w:p>
    <w:p>
      <w:pPr>
        <w:pStyle w:val="23"/>
        <w:numPr>
          <w:ilvl w:val="0"/>
          <w:numId w:val="3"/>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福利集采商城H5，包括banner轮播图、首页弹窗、商品分类及</w:t>
      </w:r>
    </w:p>
    <w:p>
      <w:pPr>
        <w:pStyle w:val="23"/>
        <w:spacing w:line="600" w:lineRule="exact"/>
        <w:ind w:left="838" w:leftChars="399" w:firstLine="0"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展示、商品筛选、购物车管理、用户信息、订单管理、消息管理等。</w:t>
      </w:r>
    </w:p>
    <w:p>
      <w:pPr>
        <w:pStyle w:val="23"/>
        <w:spacing w:line="600" w:lineRule="exact"/>
        <w:ind w:left="838" w:leftChars="399" w:firstLine="0" w:firstLineChars="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（六）质量要求：</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中选人须保证对定制开发的“</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软件建设项目软件具有完全的知识产权和完备的二次开发能力，软件系统信息数据具备防篡改性。同时，福利集采商城软件系统的建设具备兼容性，能够保障市场主流福利商城供应商以API形式实现接口对接。</w:t>
      </w:r>
    </w:p>
    <w:p>
      <w:pPr>
        <w:spacing w:line="60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（七</w:t>
      </w:r>
      <w:r>
        <w:rPr>
          <w:rFonts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rPr>
        <w:t>服务要求：</w:t>
      </w:r>
    </w:p>
    <w:p>
      <w:pPr>
        <w:spacing w:line="60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免费协助运营和售后服务期3年，以平台福利专区完成验收后开始，中选人将免费对“</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购网”电子商城平台福利专区进行运维服务和功能迭代。服务期结束后，如果比选人和中选人双方无异议，中选人将继续为比选人提供免费的运维服务和功能迭代。</w:t>
      </w:r>
    </w:p>
    <w:p>
      <w:pPr>
        <w:spacing w:line="60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（八</w:t>
      </w:r>
      <w:r>
        <w:rPr>
          <w:rFonts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rPr>
        <w:t>知</w:t>
      </w:r>
      <w:r>
        <w:rPr>
          <w:rFonts w:ascii="Times New Roman" w:hAnsi="Times New Roman" w:eastAsia="楷体" w:cs="Times New Roman"/>
          <w:color w:val="auto"/>
          <w:sz w:val="28"/>
          <w:szCs w:val="28"/>
          <w:highlight w:val="none"/>
        </w:rPr>
        <w:t>识产权</w:t>
      </w:r>
      <w:r>
        <w:rPr>
          <w:rFonts w:hint="default" w:ascii="Times New Roman" w:hAnsi="Times New Roman" w:eastAsia="楷体" w:cs="Times New Roman"/>
          <w:color w:val="auto"/>
          <w:sz w:val="28"/>
          <w:szCs w:val="28"/>
          <w:highlight w:val="none"/>
        </w:rPr>
        <w:t>：</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w:t>
      </w:r>
      <w:r>
        <w:rPr>
          <w:rFonts w:ascii="Times New Roman" w:hAnsi="Times New Roman" w:eastAsia="仿宋_GB2312" w:cs="Times New Roman"/>
          <w:color w:val="auto"/>
          <w:sz w:val="28"/>
          <w:szCs w:val="28"/>
          <w:highlight w:val="none"/>
        </w:rPr>
        <w:t>选</w:t>
      </w:r>
      <w:r>
        <w:rPr>
          <w:rFonts w:hint="default" w:ascii="Times New Roman" w:hAnsi="Times New Roman" w:eastAsia="仿宋_GB2312" w:cs="Times New Roman"/>
          <w:color w:val="auto"/>
          <w:sz w:val="28"/>
          <w:szCs w:val="28"/>
          <w:highlight w:val="none"/>
        </w:rPr>
        <w:t>申请</w:t>
      </w:r>
      <w:r>
        <w:rPr>
          <w:rFonts w:ascii="Times New Roman" w:hAnsi="Times New Roman" w:eastAsia="仿宋_GB2312" w:cs="Times New Roman"/>
          <w:color w:val="auto"/>
          <w:sz w:val="28"/>
          <w:szCs w:val="28"/>
          <w:highlight w:val="none"/>
        </w:rPr>
        <w:t>人应保证在本项目使用的</w:t>
      </w:r>
      <w:r>
        <w:rPr>
          <w:rFonts w:hint="default" w:ascii="Times New Roman" w:hAnsi="Times New Roman" w:eastAsia="仿宋_GB2312" w:cs="Times New Roman"/>
          <w:color w:val="auto"/>
          <w:sz w:val="28"/>
          <w:szCs w:val="28"/>
          <w:highlight w:val="none"/>
        </w:rPr>
        <w:t>任何</w:t>
      </w:r>
      <w:r>
        <w:rPr>
          <w:rFonts w:ascii="Times New Roman" w:hAnsi="Times New Roman" w:eastAsia="仿宋_GB2312" w:cs="Times New Roman"/>
          <w:color w:val="auto"/>
          <w:sz w:val="28"/>
          <w:szCs w:val="28"/>
          <w:highlight w:val="none"/>
        </w:rPr>
        <w:t>产品和服务（包括部分使用）时，不会产生</w:t>
      </w:r>
      <w:r>
        <w:rPr>
          <w:rFonts w:hint="default" w:ascii="Times New Roman" w:hAnsi="Times New Roman" w:eastAsia="仿宋_GB2312" w:cs="Times New Roman"/>
          <w:color w:val="auto"/>
          <w:sz w:val="28"/>
          <w:szCs w:val="28"/>
          <w:highlight w:val="none"/>
        </w:rPr>
        <w:t>因</w:t>
      </w:r>
      <w:r>
        <w:rPr>
          <w:rFonts w:ascii="Times New Roman" w:hAnsi="Times New Roman" w:eastAsia="仿宋_GB2312" w:cs="Times New Roman"/>
          <w:color w:val="auto"/>
          <w:sz w:val="28"/>
          <w:szCs w:val="28"/>
          <w:highlight w:val="none"/>
        </w:rPr>
        <w:t>第三方提出侵犯其专利权、商标权或其</w:t>
      </w:r>
      <w:r>
        <w:rPr>
          <w:rFonts w:hint="default" w:ascii="Times New Roman" w:hAnsi="Times New Roman" w:eastAsia="仿宋_GB2312" w:cs="Times New Roman"/>
          <w:color w:val="auto"/>
          <w:sz w:val="28"/>
          <w:szCs w:val="28"/>
          <w:highlight w:val="none"/>
        </w:rPr>
        <w:t>它</w:t>
      </w:r>
      <w:r>
        <w:rPr>
          <w:rFonts w:ascii="Times New Roman" w:hAnsi="Times New Roman" w:eastAsia="仿宋_GB2312" w:cs="Times New Roman"/>
          <w:color w:val="auto"/>
          <w:sz w:val="28"/>
          <w:szCs w:val="28"/>
          <w:highlight w:val="none"/>
        </w:rPr>
        <w:t>知识产权而引起的法律和经济纠纷，如因专利权、商标权或其它知识</w:t>
      </w:r>
      <w:r>
        <w:rPr>
          <w:rFonts w:hint="default" w:ascii="Times New Roman" w:hAnsi="Times New Roman" w:eastAsia="仿宋_GB2312" w:cs="Times New Roman"/>
          <w:color w:val="auto"/>
          <w:sz w:val="28"/>
          <w:szCs w:val="28"/>
          <w:highlight w:val="none"/>
        </w:rPr>
        <w:t>产</w:t>
      </w:r>
      <w:r>
        <w:rPr>
          <w:rFonts w:ascii="Times New Roman" w:hAnsi="Times New Roman" w:eastAsia="仿宋_GB2312" w:cs="Times New Roman"/>
          <w:color w:val="auto"/>
          <w:sz w:val="28"/>
          <w:szCs w:val="28"/>
          <w:highlight w:val="none"/>
        </w:rPr>
        <w:t>权而引起法律和经济纠纷，由比选申请人承担所有相关责任。</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rPr>
        <w:t>比</w:t>
      </w:r>
      <w:r>
        <w:rPr>
          <w:rFonts w:ascii="Times New Roman" w:hAnsi="Times New Roman" w:eastAsia="仿宋_GB2312" w:cs="Times New Roman"/>
          <w:color w:val="auto"/>
          <w:sz w:val="28"/>
          <w:szCs w:val="28"/>
          <w:highlight w:val="none"/>
        </w:rPr>
        <w:t>选人</w:t>
      </w:r>
      <w:r>
        <w:rPr>
          <w:rFonts w:hint="default" w:ascii="Times New Roman" w:hAnsi="Times New Roman" w:eastAsia="仿宋_GB2312" w:cs="Times New Roman"/>
          <w:color w:val="auto"/>
          <w:sz w:val="28"/>
          <w:szCs w:val="28"/>
          <w:highlight w:val="none"/>
        </w:rPr>
        <w:t>享有</w:t>
      </w:r>
      <w:r>
        <w:rPr>
          <w:rFonts w:ascii="Times New Roman" w:hAnsi="Times New Roman" w:eastAsia="仿宋_GB2312" w:cs="Times New Roman"/>
          <w:color w:val="auto"/>
          <w:sz w:val="28"/>
          <w:szCs w:val="28"/>
          <w:highlight w:val="none"/>
        </w:rPr>
        <w:t>本项目实施过程中产生的知识成果及</w:t>
      </w:r>
      <w:r>
        <w:rPr>
          <w:rFonts w:hint="default" w:ascii="Times New Roman" w:hAnsi="Times New Roman" w:eastAsia="仿宋_GB2312" w:cs="Times New Roman"/>
          <w:color w:val="auto"/>
          <w:sz w:val="28"/>
          <w:szCs w:val="28"/>
          <w:highlight w:val="none"/>
        </w:rPr>
        <w:t>知</w:t>
      </w:r>
      <w:r>
        <w:rPr>
          <w:rFonts w:ascii="Times New Roman" w:hAnsi="Times New Roman" w:eastAsia="仿宋_GB2312" w:cs="Times New Roman"/>
          <w:color w:val="auto"/>
          <w:sz w:val="28"/>
          <w:szCs w:val="28"/>
          <w:highlight w:val="none"/>
        </w:rPr>
        <w:t>识产权。</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rPr>
        <w:t>比</w:t>
      </w:r>
      <w:r>
        <w:rPr>
          <w:rFonts w:ascii="Times New Roman" w:hAnsi="Times New Roman" w:eastAsia="仿宋_GB2312" w:cs="Times New Roman"/>
          <w:color w:val="auto"/>
          <w:sz w:val="28"/>
          <w:szCs w:val="28"/>
          <w:highlight w:val="none"/>
        </w:rPr>
        <w:t>选申请人如欲在本项目实施过程中</w:t>
      </w:r>
      <w:r>
        <w:rPr>
          <w:rFonts w:hint="default" w:ascii="Times New Roman" w:hAnsi="Times New Roman" w:eastAsia="仿宋_GB2312" w:cs="Times New Roman"/>
          <w:color w:val="auto"/>
          <w:sz w:val="28"/>
          <w:szCs w:val="28"/>
          <w:highlight w:val="none"/>
        </w:rPr>
        <w:t>采</w:t>
      </w:r>
      <w:r>
        <w:rPr>
          <w:rFonts w:ascii="Times New Roman" w:hAnsi="Times New Roman" w:eastAsia="仿宋_GB2312" w:cs="Times New Roman"/>
          <w:color w:val="auto"/>
          <w:sz w:val="28"/>
          <w:szCs w:val="28"/>
          <w:highlight w:val="none"/>
        </w:rPr>
        <w:t>用自有知识成果，需在响应文件中声明</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并提供相关知识产权证明文件。使</w:t>
      </w:r>
      <w:r>
        <w:rPr>
          <w:rFonts w:hint="default" w:ascii="Times New Roman" w:hAnsi="Times New Roman" w:eastAsia="仿宋_GB2312" w:cs="Times New Roman"/>
          <w:color w:val="auto"/>
          <w:sz w:val="28"/>
          <w:szCs w:val="28"/>
          <w:highlight w:val="none"/>
        </w:rPr>
        <w:t>用</w:t>
      </w:r>
      <w:r>
        <w:rPr>
          <w:rFonts w:ascii="Times New Roman" w:hAnsi="Times New Roman" w:eastAsia="仿宋_GB2312" w:cs="Times New Roman"/>
          <w:color w:val="auto"/>
          <w:sz w:val="28"/>
          <w:szCs w:val="28"/>
          <w:highlight w:val="none"/>
        </w:rPr>
        <w:t>该知识成果后，比选申请人需提供开发接口和开发手册等技术</w:t>
      </w:r>
      <w:r>
        <w:rPr>
          <w:rFonts w:hint="default" w:ascii="Times New Roman" w:hAnsi="Times New Roman" w:eastAsia="仿宋_GB2312" w:cs="Times New Roman"/>
          <w:color w:val="auto"/>
          <w:sz w:val="28"/>
          <w:szCs w:val="28"/>
          <w:highlight w:val="none"/>
        </w:rPr>
        <w:t>文</w:t>
      </w:r>
      <w:r>
        <w:rPr>
          <w:rFonts w:ascii="Times New Roman" w:hAnsi="Times New Roman" w:eastAsia="仿宋_GB2312" w:cs="Times New Roman"/>
          <w:color w:val="auto"/>
          <w:sz w:val="28"/>
          <w:szCs w:val="28"/>
          <w:highlight w:val="none"/>
        </w:rPr>
        <w:t>档，并承诺提供无限期技术支持，比选人享</w:t>
      </w:r>
      <w:r>
        <w:rPr>
          <w:rFonts w:hint="default" w:ascii="Times New Roman" w:hAnsi="Times New Roman" w:eastAsia="仿宋_GB2312" w:cs="Times New Roman"/>
          <w:color w:val="auto"/>
          <w:sz w:val="28"/>
          <w:szCs w:val="28"/>
          <w:highlight w:val="none"/>
        </w:rPr>
        <w:t>有</w:t>
      </w:r>
      <w:r>
        <w:rPr>
          <w:rFonts w:ascii="Times New Roman" w:hAnsi="Times New Roman" w:eastAsia="仿宋_GB2312" w:cs="Times New Roman"/>
          <w:color w:val="auto"/>
          <w:sz w:val="28"/>
          <w:szCs w:val="28"/>
          <w:highlight w:val="none"/>
        </w:rPr>
        <w:t>永久使用权。</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28"/>
          <w:szCs w:val="28"/>
          <w:highlight w:val="none"/>
        </w:rPr>
        <w:t>比选申请人拥有合法使用该知识产权的许可凭证等予以佐证。若因知识产权造成对比选人的损失，则应承担相应责任。</w:t>
      </w:r>
    </w:p>
    <w:p>
      <w:pPr>
        <w:spacing w:line="60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（九</w:t>
      </w:r>
      <w:r>
        <w:rPr>
          <w:rFonts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rPr>
        <w:t>其他要求：</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rPr>
        <w:t>中</w:t>
      </w:r>
      <w:r>
        <w:rPr>
          <w:rFonts w:ascii="Times New Roman" w:hAnsi="Times New Roman" w:eastAsia="仿宋_GB2312" w:cs="Times New Roman"/>
          <w:color w:val="auto"/>
          <w:sz w:val="28"/>
          <w:szCs w:val="28"/>
          <w:highlight w:val="none"/>
        </w:rPr>
        <w:t>选人</w:t>
      </w:r>
      <w:r>
        <w:rPr>
          <w:rFonts w:hint="default" w:ascii="Times New Roman" w:hAnsi="Times New Roman" w:eastAsia="仿宋_GB2312" w:cs="Times New Roman"/>
          <w:color w:val="auto"/>
          <w:sz w:val="28"/>
          <w:szCs w:val="28"/>
          <w:highlight w:val="none"/>
        </w:rPr>
        <w:t>必须完成比选</w:t>
      </w:r>
      <w:r>
        <w:rPr>
          <w:rFonts w:ascii="Times New Roman" w:hAnsi="Times New Roman" w:eastAsia="仿宋_GB2312" w:cs="Times New Roman"/>
          <w:color w:val="auto"/>
          <w:sz w:val="28"/>
          <w:szCs w:val="28"/>
          <w:highlight w:val="none"/>
        </w:rPr>
        <w:t>文件</w:t>
      </w:r>
      <w:r>
        <w:rPr>
          <w:rFonts w:hint="default" w:ascii="Times New Roman" w:hAnsi="Times New Roman" w:eastAsia="仿宋_GB2312" w:cs="Times New Roman"/>
          <w:color w:val="auto"/>
          <w:sz w:val="28"/>
          <w:szCs w:val="28"/>
          <w:highlight w:val="none"/>
        </w:rPr>
        <w:t>中所包括软件的开发、部署，直至达到比选人的规定要求，交付比选人正</w:t>
      </w:r>
      <w:r>
        <w:rPr>
          <w:rFonts w:ascii="Times New Roman" w:hAnsi="Times New Roman" w:eastAsia="仿宋_GB2312" w:cs="Times New Roman"/>
          <w:color w:val="auto"/>
          <w:sz w:val="28"/>
          <w:szCs w:val="28"/>
          <w:highlight w:val="none"/>
        </w:rPr>
        <w:t>常</w:t>
      </w:r>
      <w:r>
        <w:rPr>
          <w:rFonts w:hint="default" w:ascii="Times New Roman" w:hAnsi="Times New Roman" w:eastAsia="仿宋_GB2312" w:cs="Times New Roman"/>
          <w:color w:val="auto"/>
          <w:sz w:val="28"/>
          <w:szCs w:val="28"/>
          <w:highlight w:val="none"/>
        </w:rPr>
        <w:t>使用。对于安装、调试、培训，质保期内的维护及其所产生费用均由中选</w:t>
      </w:r>
      <w:r>
        <w:rPr>
          <w:rFonts w:ascii="Times New Roman" w:hAnsi="Times New Roman" w:eastAsia="仿宋_GB2312" w:cs="Times New Roman"/>
          <w:color w:val="auto"/>
          <w:sz w:val="28"/>
          <w:szCs w:val="28"/>
          <w:highlight w:val="none"/>
        </w:rPr>
        <w:t>人</w:t>
      </w:r>
      <w:r>
        <w:rPr>
          <w:rFonts w:hint="default" w:ascii="Times New Roman" w:hAnsi="Times New Roman" w:eastAsia="仿宋_GB2312" w:cs="Times New Roman"/>
          <w:color w:val="auto"/>
          <w:sz w:val="28"/>
          <w:szCs w:val="28"/>
          <w:highlight w:val="none"/>
        </w:rPr>
        <w:t>承担。质保期内，所有出现的非人为原因造成的软件故障，中选人应在收到报修通知之日起2</w:t>
      </w:r>
      <w:r>
        <w:rPr>
          <w:rFonts w:ascii="Times New Roman" w:hAnsi="Times New Roman" w:eastAsia="仿宋_GB2312" w:cs="Times New Roman"/>
          <w:color w:val="auto"/>
          <w:sz w:val="28"/>
          <w:szCs w:val="28"/>
          <w:highlight w:val="none"/>
        </w:rPr>
        <w:t>4小时之内进行修复。</w:t>
      </w:r>
      <w:r>
        <w:rPr>
          <w:rFonts w:hint="default" w:ascii="Times New Roman" w:hAnsi="Times New Roman" w:eastAsia="仿宋_GB2312" w:cs="Times New Roman"/>
          <w:color w:val="auto"/>
          <w:sz w:val="28"/>
          <w:szCs w:val="28"/>
          <w:highlight w:val="none"/>
        </w:rPr>
        <w:t>修复服务应在不影响正常工作为前提下进行。</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rPr>
        <w:t>中</w:t>
      </w:r>
      <w:r>
        <w:rPr>
          <w:rFonts w:ascii="Times New Roman" w:hAnsi="Times New Roman" w:eastAsia="仿宋_GB2312" w:cs="Times New Roman"/>
          <w:color w:val="auto"/>
          <w:sz w:val="28"/>
          <w:szCs w:val="28"/>
          <w:highlight w:val="none"/>
        </w:rPr>
        <w:t>选人提供</w:t>
      </w:r>
      <w:r>
        <w:rPr>
          <w:rFonts w:hint="default" w:ascii="Times New Roman" w:hAnsi="Times New Roman" w:eastAsia="仿宋_GB2312" w:cs="Times New Roman"/>
          <w:color w:val="auto"/>
          <w:sz w:val="28"/>
          <w:szCs w:val="28"/>
          <w:highlight w:val="none"/>
        </w:rPr>
        <w:t>1年7*24小</w:t>
      </w:r>
      <w:r>
        <w:rPr>
          <w:rFonts w:ascii="Times New Roman" w:hAnsi="Times New Roman" w:eastAsia="仿宋_GB2312" w:cs="Times New Roman"/>
          <w:color w:val="auto"/>
          <w:sz w:val="28"/>
          <w:szCs w:val="28"/>
          <w:highlight w:val="none"/>
        </w:rPr>
        <w:t>时电话咨询服务，必要时上门服务。</w:t>
      </w:r>
    </w:p>
    <w:p>
      <w:pPr>
        <w:spacing w:line="60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中</w:t>
      </w:r>
      <w:r>
        <w:rPr>
          <w:rFonts w:ascii="Times New Roman" w:hAnsi="Times New Roman" w:eastAsia="仿宋_GB2312" w:cs="Times New Roman"/>
          <w:color w:val="auto"/>
          <w:sz w:val="28"/>
          <w:szCs w:val="28"/>
          <w:highlight w:val="none"/>
        </w:rPr>
        <w:t>选</w:t>
      </w:r>
      <w:r>
        <w:rPr>
          <w:rFonts w:hint="default" w:ascii="Times New Roman" w:hAnsi="Times New Roman" w:eastAsia="仿宋_GB2312" w:cs="Times New Roman"/>
          <w:color w:val="auto"/>
          <w:sz w:val="28"/>
          <w:szCs w:val="28"/>
          <w:highlight w:val="none"/>
        </w:rPr>
        <w:t>人必须配合比选人的管理，比选人用户变更后，中选人应提供便利的途径，以及</w:t>
      </w:r>
      <w:r>
        <w:rPr>
          <w:rFonts w:ascii="Times New Roman" w:hAnsi="Times New Roman" w:eastAsia="仿宋_GB2312" w:cs="Times New Roman"/>
          <w:color w:val="auto"/>
          <w:sz w:val="28"/>
          <w:szCs w:val="28"/>
          <w:highlight w:val="none"/>
        </w:rPr>
        <w:t>时</w:t>
      </w:r>
      <w:r>
        <w:rPr>
          <w:rFonts w:hint="default" w:ascii="Times New Roman" w:hAnsi="Times New Roman" w:eastAsia="仿宋_GB2312" w:cs="Times New Roman"/>
          <w:color w:val="auto"/>
          <w:sz w:val="28"/>
          <w:szCs w:val="28"/>
          <w:highlight w:val="none"/>
        </w:rPr>
        <w:t>进行用</w:t>
      </w:r>
      <w:r>
        <w:rPr>
          <w:rFonts w:ascii="Times New Roman" w:hAnsi="Times New Roman" w:eastAsia="仿宋_GB2312" w:cs="Times New Roman"/>
          <w:color w:val="auto"/>
          <w:sz w:val="28"/>
          <w:szCs w:val="28"/>
          <w:highlight w:val="none"/>
        </w:rPr>
        <w:t>户</w:t>
      </w:r>
      <w:r>
        <w:rPr>
          <w:rFonts w:hint="default" w:ascii="Times New Roman" w:hAnsi="Times New Roman" w:eastAsia="仿宋_GB2312" w:cs="Times New Roman"/>
          <w:color w:val="auto"/>
          <w:sz w:val="28"/>
          <w:szCs w:val="28"/>
          <w:highlight w:val="none"/>
        </w:rPr>
        <w:t>变更。</w:t>
      </w:r>
    </w:p>
    <w:p>
      <w:pPr>
        <w:spacing w:line="600" w:lineRule="exact"/>
        <w:outlineLvl w:val="1"/>
        <w:rPr>
          <w:rFonts w:ascii="Times New Roman" w:hAnsi="Times New Roman" w:eastAsia="黑体" w:cs="Times New Roman"/>
          <w:color w:val="auto"/>
          <w:sz w:val="32"/>
          <w:szCs w:val="32"/>
          <w:highlight w:val="none"/>
        </w:rPr>
      </w:pPr>
      <w:bookmarkStart w:id="13" w:name="_Toc38447185"/>
      <w:bookmarkStart w:id="14" w:name="_Toc1411"/>
      <w:bookmarkStart w:id="15" w:name="_Toc14441"/>
      <w:r>
        <w:rPr>
          <w:rFonts w:hint="default" w:ascii="Times New Roman" w:hAnsi="Times New Roman" w:eastAsia="黑体" w:cs="Times New Roman"/>
          <w:color w:val="auto"/>
          <w:sz w:val="32"/>
          <w:szCs w:val="32"/>
          <w:highlight w:val="none"/>
        </w:rPr>
        <w:t>二、资格要求</w:t>
      </w:r>
      <w:bookmarkEnd w:id="11"/>
      <w:bookmarkEnd w:id="12"/>
      <w:bookmarkEnd w:id="13"/>
      <w:bookmarkEnd w:id="14"/>
      <w:bookmarkEnd w:id="15"/>
    </w:p>
    <w:p>
      <w:pPr>
        <w:pStyle w:val="23"/>
        <w:numPr>
          <w:ilvl w:val="0"/>
          <w:numId w:val="4"/>
        </w:numPr>
        <w:autoSpaceDE w:val="0"/>
        <w:autoSpaceDN w:val="0"/>
        <w:adjustRightInd w:val="0"/>
        <w:spacing w:line="600" w:lineRule="exact"/>
        <w:ind w:left="0" w:firstLine="567"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比选申请人应是具备独立法人资格且有能力提供软件服务及商品服务的国内企业，营业范围包含软件，商品批发与零售，销售及相关技术服务。注册资金实缴不低于5000</w:t>
      </w:r>
      <w:r>
        <w:rPr>
          <w:rFonts w:ascii="Times New Roman" w:hAnsi="Times New Roman" w:eastAsia="仿宋_GB2312" w:cs="Times New Roman"/>
          <w:color w:val="auto"/>
          <w:sz w:val="28"/>
          <w:szCs w:val="28"/>
          <w:highlight w:val="none"/>
        </w:rPr>
        <w:t>万元人民币</w:t>
      </w:r>
      <w:r>
        <w:rPr>
          <w:rFonts w:hint="default" w:ascii="Times New Roman" w:hAnsi="Times New Roman" w:eastAsia="仿宋_GB2312" w:cs="Times New Roman"/>
          <w:color w:val="auto"/>
          <w:sz w:val="28"/>
          <w:szCs w:val="28"/>
          <w:highlight w:val="none"/>
        </w:rPr>
        <w:t>（分子公司参与比选的，其总公司或母公司注册资金实缴不低于5000</w:t>
      </w:r>
      <w:r>
        <w:rPr>
          <w:rFonts w:ascii="Times New Roman" w:hAnsi="Times New Roman" w:eastAsia="仿宋_GB2312" w:cs="Times New Roman"/>
          <w:color w:val="auto"/>
          <w:sz w:val="28"/>
          <w:szCs w:val="28"/>
          <w:highlight w:val="none"/>
        </w:rPr>
        <w:t>万元人民币</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比选申请人应在比选申请文件中提供中华人民共和国法人证书副本复印件或企业法人营业执照副本复印件、税务登记证副本复印件</w:t>
      </w:r>
      <w:r>
        <w:rPr>
          <w:rFonts w:ascii="Times New Roman" w:hAnsi="Times New Roman" w:eastAsia="仿宋_GB2312" w:cs="Times New Roman"/>
          <w:color w:val="auto"/>
          <w:sz w:val="28"/>
          <w:szCs w:val="28"/>
          <w:highlight w:val="none"/>
        </w:rPr>
        <w:t>(或“三证合一”营业执照副本复印件)，并在复印件上加盖比选申请人单位公章。</w:t>
      </w:r>
    </w:p>
    <w:p>
      <w:pPr>
        <w:pStyle w:val="23"/>
        <w:numPr>
          <w:ilvl w:val="0"/>
          <w:numId w:val="4"/>
        </w:numPr>
        <w:autoSpaceDE w:val="0"/>
        <w:autoSpaceDN w:val="0"/>
        <w:adjustRightInd w:val="0"/>
        <w:spacing w:line="600" w:lineRule="exact"/>
        <w:ind w:left="0" w:firstLine="567"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遵守《中华人民共和国政府采购法》及其他相关的法律和法规，没有处于被四川省政府市场禁入期间。</w:t>
      </w:r>
      <w:bookmarkStart w:id="85" w:name="_GoBack"/>
      <w:bookmarkEnd w:id="85"/>
    </w:p>
    <w:p>
      <w:pPr>
        <w:pStyle w:val="23"/>
        <w:numPr>
          <w:ilvl w:val="0"/>
          <w:numId w:val="4"/>
        </w:numPr>
        <w:autoSpaceDE w:val="0"/>
        <w:autoSpaceDN w:val="0"/>
        <w:adjustRightInd w:val="0"/>
        <w:spacing w:line="600" w:lineRule="exact"/>
        <w:ind w:left="0" w:firstLine="567"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比选申请人应具有正在运营且功能完善的福利平台，须满足国家对企业福利管理的相关政策要求，须满足国家监管部门对于资金管理相关的法律法规要求，并能通过系统进行透明化监管。</w:t>
      </w:r>
    </w:p>
    <w:p>
      <w:pPr>
        <w:autoSpaceDE w:val="0"/>
        <w:autoSpaceDN w:val="0"/>
        <w:adjustRightInd w:val="0"/>
        <w:spacing w:line="60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（四）本项目不接受联合体投标，不允许转包、分包。</w:t>
      </w:r>
    </w:p>
    <w:p>
      <w:pPr>
        <w:spacing w:line="600" w:lineRule="exact"/>
        <w:outlineLvl w:val="1"/>
        <w:rPr>
          <w:rFonts w:ascii="Times New Roman" w:hAnsi="Times New Roman" w:eastAsia="黑体" w:cs="Times New Roman"/>
          <w:color w:val="auto"/>
          <w:sz w:val="32"/>
          <w:szCs w:val="32"/>
          <w:highlight w:val="none"/>
        </w:rPr>
      </w:pPr>
      <w:bookmarkStart w:id="16" w:name="_Toc38447186"/>
      <w:bookmarkStart w:id="17" w:name="_Toc1319"/>
      <w:bookmarkStart w:id="18" w:name="_Toc12253"/>
      <w:r>
        <w:rPr>
          <w:rFonts w:hint="default" w:ascii="Times New Roman" w:hAnsi="Times New Roman" w:eastAsia="黑体" w:cs="Times New Roman"/>
          <w:color w:val="auto"/>
          <w:sz w:val="32"/>
          <w:szCs w:val="32"/>
          <w:highlight w:val="none"/>
        </w:rPr>
        <w:t>三、比选文件获取</w:t>
      </w:r>
      <w:bookmarkEnd w:id="16"/>
      <w:bookmarkEnd w:id="17"/>
      <w:bookmarkEnd w:id="18"/>
    </w:p>
    <w:p>
      <w:pPr>
        <w:autoSpaceDE w:val="0"/>
        <w:autoSpaceDN w:val="0"/>
        <w:adjustRightInd w:val="0"/>
        <w:spacing w:line="60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（一）凡有意参加比选者，请自行在蜀道投资集团有限责任公司(http://www.shudaojt.com/)、四川交投物流有限公司网站（http://www.scjt-wl.com/）和四川交投智采平台（https://scjt.tabe.cn/）免费匿名下载比选文件。</w:t>
      </w:r>
    </w:p>
    <w:p>
      <w:pPr>
        <w:autoSpaceDE w:val="0"/>
        <w:autoSpaceDN w:val="0"/>
        <w:adjustRightInd w:val="0"/>
        <w:spacing w:line="60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 比选文件补遗书（如果有）由比选申请人在蜀道投资集团有限责任公司(http://www.shudaojt.com/)、四川交投物流有限公司网站（http://www.scjt-wl.com/）和四川交投智采平台（https://scjt.tabe.cn/）上自行查阅和下载。</w:t>
      </w:r>
    </w:p>
    <w:p>
      <w:pPr>
        <w:autoSpaceDE w:val="0"/>
        <w:autoSpaceDN w:val="0"/>
        <w:adjustRightInd w:val="0"/>
        <w:spacing w:line="60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spacing w:line="600" w:lineRule="exact"/>
        <w:outlineLvl w:val="1"/>
        <w:rPr>
          <w:rFonts w:ascii="Times New Roman" w:hAnsi="Times New Roman" w:eastAsia="黑体" w:cs="Times New Roman"/>
          <w:color w:val="auto"/>
          <w:sz w:val="32"/>
          <w:szCs w:val="32"/>
          <w:highlight w:val="none"/>
        </w:rPr>
      </w:pPr>
      <w:bookmarkStart w:id="19" w:name="_Toc10306"/>
      <w:bookmarkStart w:id="20" w:name="_Toc10169"/>
      <w:bookmarkStart w:id="21" w:name="_Toc38447187"/>
      <w:r>
        <w:rPr>
          <w:rFonts w:hint="default" w:ascii="Times New Roman" w:hAnsi="Times New Roman" w:eastAsia="黑体" w:cs="Times New Roman"/>
          <w:color w:val="auto"/>
          <w:sz w:val="32"/>
          <w:szCs w:val="32"/>
          <w:highlight w:val="none"/>
        </w:rPr>
        <w:t>四、比选申请文件递交</w:t>
      </w:r>
      <w:bookmarkEnd w:id="19"/>
      <w:bookmarkEnd w:id="20"/>
      <w:bookmarkEnd w:id="21"/>
    </w:p>
    <w:p>
      <w:pPr>
        <w:pStyle w:val="23"/>
        <w:numPr>
          <w:ilvl w:val="0"/>
          <w:numId w:val="5"/>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w:t>
      </w:r>
      <w:r>
        <w:rPr>
          <w:rFonts w:hint="eastAsia" w:ascii="Times New Roman" w:hAnsi="Times New Roman" w:eastAsia="仿宋_GB2312" w:cs="Times New Roman"/>
          <w:color w:val="auto"/>
          <w:sz w:val="28"/>
          <w:szCs w:val="28"/>
          <w:highlight w:val="none"/>
          <w:lang w:eastAsia="zh-CN"/>
        </w:rPr>
        <w:t>文件</w:t>
      </w:r>
      <w:r>
        <w:rPr>
          <w:rFonts w:hint="eastAsia" w:ascii="Times New Roman" w:hAnsi="Times New Roman" w:eastAsia="仿宋_GB2312" w:cs="Times New Roman"/>
          <w:color w:val="auto"/>
          <w:sz w:val="28"/>
          <w:szCs w:val="28"/>
          <w:highlight w:val="none"/>
        </w:rPr>
        <w:t>递交时间：2021年</w:t>
      </w: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25</w:t>
      </w:r>
      <w:r>
        <w:rPr>
          <w:rFonts w:hint="eastAsia" w:ascii="Times New Roman" w:hAnsi="Times New Roman" w:eastAsia="仿宋_GB2312" w:cs="Times New Roman"/>
          <w:color w:val="auto"/>
          <w:sz w:val="28"/>
          <w:szCs w:val="28"/>
          <w:highlight w:val="none"/>
        </w:rPr>
        <w:t>日上午9</w:t>
      </w:r>
      <w:r>
        <w:rPr>
          <w:rFonts w:hint="eastAsia" w:ascii="Times New Roman" w:hAnsi="Times New Roman" w:eastAsia="仿宋_GB2312" w:cs="Times New Roman"/>
          <w:color w:val="auto"/>
          <w:sz w:val="28"/>
          <w:szCs w:val="28"/>
          <w:highlight w:val="none"/>
          <w:lang w:eastAsia="zh-CN"/>
        </w:rPr>
        <w:t>时</w:t>
      </w:r>
      <w:r>
        <w:rPr>
          <w:rFonts w:hint="eastAsia" w:ascii="Times New Roman" w:hAnsi="Times New Roman" w:eastAsia="仿宋_GB2312" w:cs="Times New Roman"/>
          <w:color w:val="auto"/>
          <w:sz w:val="28"/>
          <w:szCs w:val="28"/>
          <w:highlight w:val="none"/>
        </w:rPr>
        <w:t>至10</w:t>
      </w:r>
      <w:r>
        <w:rPr>
          <w:rFonts w:hint="eastAsia" w:ascii="Times New Roman" w:hAnsi="Times New Roman" w:eastAsia="仿宋_GB2312" w:cs="Times New Roman"/>
          <w:color w:val="auto"/>
          <w:sz w:val="28"/>
          <w:szCs w:val="28"/>
          <w:highlight w:val="none"/>
          <w:lang w:eastAsia="zh-CN"/>
        </w:rPr>
        <w:t>时</w:t>
      </w:r>
      <w:r>
        <w:rPr>
          <w:rFonts w:hint="eastAsia" w:ascii="Times New Roman" w:hAnsi="Times New Roman" w:eastAsia="仿宋_GB2312" w:cs="Times New Roman"/>
          <w:color w:val="auto"/>
          <w:sz w:val="28"/>
          <w:szCs w:val="28"/>
          <w:highlight w:val="none"/>
        </w:rPr>
        <w:t>。</w:t>
      </w:r>
    </w:p>
    <w:p>
      <w:pPr>
        <w:pStyle w:val="23"/>
        <w:numPr>
          <w:ilvl w:val="0"/>
          <w:numId w:val="5"/>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比选申请文件递交截止</w:t>
      </w:r>
      <w:r>
        <w:rPr>
          <w:rFonts w:hint="eastAsia" w:ascii="Times New Roman" w:hAnsi="Times New Roman" w:eastAsia="仿宋_GB2312" w:cs="Times New Roman"/>
          <w:color w:val="auto"/>
          <w:sz w:val="28"/>
          <w:szCs w:val="28"/>
          <w:highlight w:val="none"/>
          <w:lang w:eastAsia="zh-CN"/>
        </w:rPr>
        <w:t>及开标时间</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rPr>
        <w:t>1年6月</w:t>
      </w: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日</w:t>
      </w:r>
      <w:r>
        <w:rPr>
          <w:rFonts w:ascii="Times New Roman" w:hAnsi="Times New Roman" w:eastAsia="仿宋_GB2312" w:cs="Times New Roman"/>
          <w:color w:val="auto"/>
          <w:sz w:val="28"/>
          <w:szCs w:val="28"/>
          <w:highlight w:val="none"/>
        </w:rPr>
        <w:t>上午10</w:t>
      </w:r>
      <w:r>
        <w:rPr>
          <w:rFonts w:hint="default" w:ascii="Times New Roman" w:hAnsi="Times New Roman" w:eastAsia="仿宋_GB2312" w:cs="Times New Roman"/>
          <w:color w:val="auto"/>
          <w:sz w:val="28"/>
          <w:szCs w:val="28"/>
          <w:highlight w:val="none"/>
        </w:rPr>
        <w:t>时</w:t>
      </w:r>
      <w:r>
        <w:rPr>
          <w:rFonts w:ascii="Times New Roman" w:hAnsi="Times New Roman" w:eastAsia="仿宋_GB2312" w:cs="Times New Roman"/>
          <w:color w:val="auto"/>
          <w:sz w:val="28"/>
          <w:szCs w:val="28"/>
          <w:highlight w:val="none"/>
        </w:rPr>
        <w:t>。</w:t>
      </w:r>
    </w:p>
    <w:p>
      <w:pPr>
        <w:pStyle w:val="23"/>
        <w:numPr>
          <w:ilvl w:val="0"/>
          <w:numId w:val="5"/>
        </w:numPr>
        <w:spacing w:line="600" w:lineRule="exact"/>
        <w:ind w:left="0" w:firstLine="567"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比选申请文件递交的地点：四川省成都市锦江区三色路163号银海芯座B座22楼2217室</w:t>
      </w:r>
      <w:r>
        <w:rPr>
          <w:rFonts w:ascii="Times New Roman" w:hAnsi="Times New Roman" w:eastAsia="仿宋_GB2312" w:cs="Times New Roman"/>
          <w:color w:val="auto"/>
          <w:sz w:val="28"/>
          <w:szCs w:val="28"/>
          <w:highlight w:val="none"/>
        </w:rPr>
        <w:t>。</w:t>
      </w:r>
    </w:p>
    <w:p>
      <w:pPr>
        <w:pStyle w:val="23"/>
        <w:numPr>
          <w:ilvl w:val="0"/>
          <w:numId w:val="5"/>
        </w:numPr>
        <w:spacing w:line="600" w:lineRule="exact"/>
        <w:ind w:firstLine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逾期送达或者未送达指定地点的文件，比选人不予受理。</w:t>
      </w:r>
    </w:p>
    <w:p>
      <w:pPr>
        <w:spacing w:line="600" w:lineRule="exact"/>
        <w:outlineLvl w:val="1"/>
        <w:rPr>
          <w:rFonts w:ascii="Times New Roman" w:hAnsi="Times New Roman" w:eastAsia="黑体" w:cs="Times New Roman"/>
          <w:color w:val="auto"/>
          <w:sz w:val="32"/>
          <w:szCs w:val="32"/>
          <w:highlight w:val="none"/>
        </w:rPr>
      </w:pPr>
      <w:bookmarkStart w:id="22" w:name="_Toc16753"/>
      <w:bookmarkStart w:id="23" w:name="_Toc38447188"/>
      <w:bookmarkStart w:id="24" w:name="_Toc23563"/>
      <w:r>
        <w:rPr>
          <w:rFonts w:hint="default" w:ascii="Times New Roman" w:hAnsi="Times New Roman" w:eastAsia="黑体" w:cs="Times New Roman"/>
          <w:color w:val="auto"/>
          <w:sz w:val="32"/>
          <w:szCs w:val="32"/>
          <w:highlight w:val="none"/>
        </w:rPr>
        <w:t>五、联系方式</w:t>
      </w:r>
      <w:bookmarkEnd w:id="22"/>
      <w:bookmarkEnd w:id="23"/>
      <w:bookmarkEnd w:id="24"/>
    </w:p>
    <w:p>
      <w:pPr>
        <w:autoSpaceDE w:val="0"/>
        <w:autoSpaceDN w:val="0"/>
        <w:adjustRightInd w:val="0"/>
        <w:snapToGrid w:val="0"/>
        <w:spacing w:line="600" w:lineRule="exact"/>
        <w:ind w:firstLine="560" w:firstLineChars="200"/>
        <w:jc w:val="left"/>
        <w:rPr>
          <w:rFonts w:ascii="Times New Roman" w:hAnsi="Times New Roman" w:eastAsia="仿宋_GB2312" w:cs="Times New Roman"/>
          <w:color w:val="auto"/>
          <w:kern w:val="0"/>
          <w:sz w:val="28"/>
          <w:szCs w:val="28"/>
          <w:highlight w:val="none"/>
          <w:lang w:val="zh-CN" w:bidi="zh-CN"/>
        </w:rPr>
      </w:pPr>
      <w:r>
        <w:rPr>
          <w:rFonts w:hint="default" w:ascii="Times New Roman" w:hAnsi="Times New Roman" w:eastAsia="仿宋_GB2312" w:cs="Times New Roman"/>
          <w:color w:val="auto"/>
          <w:kern w:val="0"/>
          <w:sz w:val="28"/>
          <w:szCs w:val="28"/>
          <w:highlight w:val="none"/>
          <w:lang w:val="zh-CN" w:bidi="zh-CN"/>
        </w:rPr>
        <w:t>招 标 人： 四川交投物流有限公司</w:t>
      </w:r>
    </w:p>
    <w:p>
      <w:pPr>
        <w:autoSpaceDE w:val="0"/>
        <w:autoSpaceDN w:val="0"/>
        <w:adjustRightInd w:val="0"/>
        <w:snapToGrid w:val="0"/>
        <w:spacing w:line="600" w:lineRule="exact"/>
        <w:ind w:firstLine="560" w:firstLineChars="200"/>
        <w:jc w:val="left"/>
        <w:rPr>
          <w:rFonts w:ascii="Times New Roman" w:hAnsi="Times New Roman" w:eastAsia="仿宋_GB2312" w:cs="Times New Roman"/>
          <w:color w:val="auto"/>
          <w:kern w:val="0"/>
          <w:sz w:val="28"/>
          <w:szCs w:val="28"/>
          <w:highlight w:val="none"/>
          <w:lang w:val="zh-CN" w:bidi="zh-CN"/>
        </w:rPr>
      </w:pPr>
      <w:r>
        <w:rPr>
          <w:rFonts w:hint="default" w:ascii="Times New Roman" w:hAnsi="Times New Roman" w:eastAsia="仿宋_GB2312" w:cs="Times New Roman"/>
          <w:color w:val="auto"/>
          <w:kern w:val="0"/>
          <w:sz w:val="28"/>
          <w:szCs w:val="28"/>
          <w:highlight w:val="none"/>
          <w:lang w:val="zh-CN" w:bidi="zh-CN"/>
        </w:rPr>
        <w:t>地    址： 成都市锦江区三色路银海芯座B栋22层</w:t>
      </w:r>
    </w:p>
    <w:p>
      <w:pPr>
        <w:autoSpaceDE w:val="0"/>
        <w:autoSpaceDN w:val="0"/>
        <w:adjustRightInd w:val="0"/>
        <w:snapToGrid w:val="0"/>
        <w:spacing w:line="600" w:lineRule="exact"/>
        <w:ind w:firstLine="560" w:firstLineChars="200"/>
        <w:jc w:val="left"/>
        <w:rPr>
          <w:rFonts w:ascii="Times New Roman" w:hAnsi="Times New Roman" w:eastAsia="仿宋_GB2312" w:cs="Times New Roman"/>
          <w:color w:val="auto"/>
          <w:kern w:val="0"/>
          <w:sz w:val="28"/>
          <w:szCs w:val="28"/>
          <w:highlight w:val="none"/>
          <w:lang w:val="zh-CN" w:bidi="zh-CN"/>
        </w:rPr>
      </w:pPr>
      <w:r>
        <w:rPr>
          <w:rFonts w:hint="default" w:ascii="Times New Roman" w:hAnsi="Times New Roman" w:eastAsia="仿宋_GB2312" w:cs="Times New Roman"/>
          <w:color w:val="auto"/>
          <w:kern w:val="0"/>
          <w:sz w:val="28"/>
          <w:szCs w:val="28"/>
          <w:highlight w:val="none"/>
          <w:lang w:val="zh-CN" w:bidi="zh-CN"/>
        </w:rPr>
        <w:t>邮    编： 610011</w:t>
      </w:r>
    </w:p>
    <w:p>
      <w:pPr>
        <w:autoSpaceDE w:val="0"/>
        <w:autoSpaceDN w:val="0"/>
        <w:adjustRightInd w:val="0"/>
        <w:snapToGrid w:val="0"/>
        <w:spacing w:line="600" w:lineRule="exact"/>
        <w:ind w:firstLine="560" w:firstLineChars="200"/>
        <w:jc w:val="left"/>
        <w:rPr>
          <w:rFonts w:hint="default"/>
          <w:color w:val="auto"/>
          <w:lang w:val="en-US"/>
        </w:rPr>
      </w:pPr>
      <w:r>
        <w:rPr>
          <w:rFonts w:hint="default" w:ascii="Times New Roman" w:hAnsi="Times New Roman" w:eastAsia="仿宋_GB2312" w:cs="Times New Roman"/>
          <w:color w:val="auto"/>
          <w:kern w:val="0"/>
          <w:sz w:val="28"/>
          <w:szCs w:val="28"/>
          <w:highlight w:val="none"/>
          <w:lang w:val="zh-CN" w:bidi="zh-CN"/>
        </w:rPr>
        <w:t>联系人</w:t>
      </w:r>
      <w:r>
        <w:rPr>
          <w:rFonts w:hint="eastAsia" w:ascii="Times New Roman" w:hAnsi="Times New Roman" w:eastAsia="仿宋_GB2312" w:cs="Times New Roman"/>
          <w:color w:val="auto"/>
          <w:kern w:val="0"/>
          <w:sz w:val="28"/>
          <w:szCs w:val="28"/>
          <w:highlight w:val="none"/>
          <w:lang w:val="zh-CN" w:bidi="zh-CN"/>
        </w:rPr>
        <w:t>及电话</w:t>
      </w:r>
      <w:r>
        <w:rPr>
          <w:rFonts w:hint="default" w:ascii="Times New Roman" w:hAnsi="Times New Roman" w:eastAsia="仿宋_GB2312" w:cs="Times New Roman"/>
          <w:color w:val="auto"/>
          <w:kern w:val="0"/>
          <w:sz w:val="28"/>
          <w:szCs w:val="28"/>
          <w:highlight w:val="none"/>
          <w:lang w:val="zh-CN" w:bidi="zh-CN"/>
        </w:rPr>
        <w:t>：</w:t>
      </w:r>
      <w:r>
        <w:rPr>
          <w:rFonts w:hint="eastAsia" w:ascii="Times New Roman" w:hAnsi="Times New Roman" w:eastAsia="仿宋_GB2312" w:cs="Times New Roman"/>
          <w:color w:val="auto"/>
          <w:kern w:val="0"/>
          <w:sz w:val="28"/>
          <w:szCs w:val="28"/>
          <w:highlight w:val="none"/>
          <w:lang w:val="zh-CN" w:bidi="zh-CN"/>
        </w:rPr>
        <w:t>冷女士</w:t>
      </w:r>
      <w:r>
        <w:rPr>
          <w:rFonts w:hint="eastAsia" w:ascii="Times New Roman" w:hAnsi="Times New Roman" w:eastAsia="仿宋_GB2312" w:cs="Times New Roman"/>
          <w:color w:val="auto"/>
          <w:kern w:val="0"/>
          <w:sz w:val="28"/>
          <w:szCs w:val="28"/>
          <w:highlight w:val="none"/>
          <w:lang w:val="en-US" w:bidi="zh-CN"/>
        </w:rPr>
        <w:t xml:space="preserve"> </w:t>
      </w:r>
      <w:r>
        <w:rPr>
          <w:rFonts w:hint="default" w:ascii="Times New Roman" w:hAnsi="Times New Roman" w:eastAsia="仿宋_GB2312" w:cs="Times New Roman"/>
          <w:color w:val="auto"/>
          <w:kern w:val="0"/>
          <w:sz w:val="28"/>
          <w:szCs w:val="28"/>
          <w:highlight w:val="none"/>
          <w:lang w:val="zh-CN" w:bidi="zh-CN"/>
        </w:rPr>
        <w:t>028-86926390</w:t>
      </w:r>
      <w:r>
        <w:rPr>
          <w:rFonts w:hint="eastAsia" w:ascii="Times New Roman" w:hAnsi="Times New Roman" w:eastAsia="仿宋_GB2312" w:cs="Times New Roman"/>
          <w:color w:val="auto"/>
          <w:kern w:val="0"/>
          <w:sz w:val="28"/>
          <w:szCs w:val="28"/>
          <w:highlight w:val="none"/>
          <w:lang w:val="zh-CN" w:bidi="zh-CN"/>
        </w:rPr>
        <w:t>；叶女士</w:t>
      </w:r>
      <w:r>
        <w:rPr>
          <w:rFonts w:hint="eastAsia" w:ascii="Times New Roman" w:hAnsi="Times New Roman" w:eastAsia="仿宋_GB2312" w:cs="Times New Roman"/>
          <w:color w:val="auto"/>
          <w:kern w:val="0"/>
          <w:sz w:val="28"/>
          <w:szCs w:val="28"/>
          <w:highlight w:val="none"/>
          <w:lang w:val="en-US" w:bidi="zh-CN"/>
        </w:rPr>
        <w:t xml:space="preserve"> 028-87533495</w:t>
      </w:r>
    </w:p>
    <w:p>
      <w:pPr>
        <w:autoSpaceDE w:val="0"/>
        <w:autoSpaceDN w:val="0"/>
        <w:adjustRightInd w:val="0"/>
        <w:snapToGrid w:val="0"/>
        <w:spacing w:line="600" w:lineRule="exact"/>
        <w:ind w:firstLine="560" w:firstLineChars="200"/>
        <w:jc w:val="left"/>
        <w:rPr>
          <w:rFonts w:hint="default" w:ascii="Times New Roman" w:hAnsi="Times New Roman" w:eastAsia="仿宋_GB2312" w:cs="Times New Roman"/>
          <w:color w:val="auto"/>
          <w:kern w:val="0"/>
          <w:sz w:val="28"/>
          <w:szCs w:val="28"/>
          <w:highlight w:val="none"/>
          <w:lang w:val="zh-CN" w:bidi="zh-CN"/>
        </w:rPr>
      </w:pPr>
      <w:r>
        <w:rPr>
          <w:rFonts w:hint="default" w:ascii="Times New Roman" w:hAnsi="Times New Roman" w:eastAsia="仿宋_GB2312" w:cs="Times New Roman"/>
          <w:color w:val="auto"/>
          <w:kern w:val="0"/>
          <w:sz w:val="28"/>
          <w:szCs w:val="28"/>
          <w:highlight w:val="none"/>
          <w:lang w:val="zh-CN" w:bidi="zh-CN"/>
        </w:rPr>
        <w:t>监督电话： 028-86669172</w:t>
      </w:r>
    </w:p>
    <w:p>
      <w:pPr>
        <w:autoSpaceDE w:val="0"/>
        <w:autoSpaceDN w:val="0"/>
        <w:adjustRightInd w:val="0"/>
        <w:snapToGrid w:val="0"/>
        <w:spacing w:line="600" w:lineRule="exact"/>
        <w:ind w:firstLine="560" w:firstLineChars="200"/>
        <w:jc w:val="right"/>
        <w:rPr>
          <w:rFonts w:ascii="Times New Roman" w:hAnsi="Times New Roman" w:eastAsia="仿宋_GB2312" w:cs="Times New Roman"/>
          <w:color w:val="auto"/>
          <w:kern w:val="0"/>
          <w:sz w:val="28"/>
          <w:szCs w:val="28"/>
          <w:highlight w:val="none"/>
          <w:lang w:val="zh-CN" w:bidi="zh-CN"/>
        </w:rPr>
      </w:pPr>
      <w:r>
        <w:rPr>
          <w:rFonts w:hint="default" w:ascii="Times New Roman" w:hAnsi="Times New Roman" w:eastAsia="仿宋_GB2312" w:cs="Times New Roman"/>
          <w:color w:val="auto"/>
          <w:kern w:val="0"/>
          <w:sz w:val="28"/>
          <w:szCs w:val="28"/>
          <w:highlight w:val="none"/>
          <w:lang w:val="zh-CN" w:bidi="zh-CN"/>
        </w:rPr>
        <w:t>2021年</w:t>
      </w:r>
      <w:r>
        <w:rPr>
          <w:rFonts w:hint="default" w:ascii="Times New Roman" w:hAnsi="Times New Roman" w:eastAsia="仿宋_GB2312" w:cs="Times New Roman"/>
          <w:color w:val="auto"/>
          <w:kern w:val="0"/>
          <w:sz w:val="28"/>
          <w:szCs w:val="28"/>
          <w:highlight w:val="none"/>
          <w:lang w:val="en-US" w:bidi="zh-CN"/>
        </w:rPr>
        <w:t>6</w:t>
      </w:r>
      <w:r>
        <w:rPr>
          <w:rFonts w:hint="default" w:ascii="Times New Roman" w:hAnsi="Times New Roman" w:eastAsia="仿宋_GB2312" w:cs="Times New Roman"/>
          <w:color w:val="auto"/>
          <w:kern w:val="0"/>
          <w:sz w:val="28"/>
          <w:szCs w:val="28"/>
          <w:highlight w:val="none"/>
          <w:lang w:val="zh-CN" w:bidi="zh-CN"/>
        </w:rPr>
        <w:t>月</w:t>
      </w:r>
      <w:r>
        <w:rPr>
          <w:rFonts w:hint="default" w:ascii="Times New Roman" w:hAnsi="Times New Roman" w:eastAsia="仿宋_GB2312" w:cs="Times New Roman"/>
          <w:color w:val="auto"/>
          <w:kern w:val="0"/>
          <w:sz w:val="28"/>
          <w:szCs w:val="28"/>
          <w:highlight w:val="none"/>
          <w:lang w:val="en-US" w:bidi="zh-CN"/>
        </w:rPr>
        <w:t>18</w:t>
      </w:r>
      <w:r>
        <w:rPr>
          <w:rFonts w:hint="default" w:ascii="Times New Roman" w:hAnsi="Times New Roman" w:eastAsia="仿宋_GB2312" w:cs="Times New Roman"/>
          <w:color w:val="auto"/>
          <w:kern w:val="0"/>
          <w:sz w:val="28"/>
          <w:szCs w:val="28"/>
          <w:highlight w:val="none"/>
          <w:lang w:val="zh-CN" w:bidi="zh-CN"/>
        </w:rPr>
        <w:t>日</w:t>
      </w:r>
    </w:p>
    <w:p>
      <w:pPr>
        <w:widowControl/>
        <w:jc w:val="left"/>
        <w:rPr>
          <w:rFonts w:ascii="Times New Roman" w:hAnsi="Times New Roman" w:eastAsia="方正小标宋简体" w:cs="Times New Roman"/>
          <w:b/>
          <w:bCs/>
          <w:color w:val="auto"/>
          <w:kern w:val="44"/>
          <w:sz w:val="44"/>
          <w:szCs w:val="44"/>
          <w:highlight w:val="none"/>
        </w:rPr>
      </w:pPr>
      <w:r>
        <w:rPr>
          <w:rFonts w:ascii="Times New Roman" w:hAnsi="Times New Roman" w:eastAsia="方正小标宋简体" w:cs="Times New Roman"/>
          <w:b/>
          <w:bCs/>
          <w:color w:val="auto"/>
          <w:kern w:val="44"/>
          <w:sz w:val="44"/>
          <w:szCs w:val="44"/>
          <w:highlight w:val="none"/>
        </w:rPr>
        <w:br w:type="page"/>
      </w:r>
    </w:p>
    <w:p>
      <w:pPr>
        <w:widowControl/>
        <w:jc w:val="left"/>
        <w:rPr>
          <w:rFonts w:ascii="Times New Roman" w:hAnsi="Times New Roman" w:eastAsia="方正小标宋简体" w:cs="Times New Roman"/>
          <w:b/>
          <w:bCs/>
          <w:color w:val="auto"/>
          <w:kern w:val="44"/>
          <w:sz w:val="44"/>
          <w:szCs w:val="44"/>
          <w:highlight w:val="none"/>
        </w:rPr>
      </w:pP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color w:val="auto"/>
          <w:kern w:val="44"/>
          <w:sz w:val="44"/>
          <w:szCs w:val="44"/>
          <w:highlight w:val="none"/>
          <w:lang w:val="zh-CN"/>
        </w:rPr>
      </w:pPr>
      <w:bookmarkStart w:id="25" w:name="_Toc23697"/>
      <w:bookmarkStart w:id="26" w:name="_Toc8145"/>
      <w:bookmarkStart w:id="27" w:name="_Toc38447189"/>
      <w:r>
        <w:rPr>
          <w:rFonts w:hint="default" w:ascii="Times New Roman" w:hAnsi="Times New Roman" w:eastAsia="方正小标宋简体" w:cs="Times New Roman"/>
          <w:b/>
          <w:bCs/>
          <w:color w:val="auto"/>
          <w:kern w:val="44"/>
          <w:sz w:val="44"/>
          <w:szCs w:val="44"/>
          <w:highlight w:val="none"/>
          <w:lang w:val="zh-CN"/>
        </w:rPr>
        <w:t>比选申请人须知</w:t>
      </w:r>
      <w:bookmarkEnd w:id="25"/>
      <w:bookmarkEnd w:id="26"/>
      <w:bookmarkEnd w:id="27"/>
    </w:p>
    <w:p>
      <w:pPr>
        <w:spacing w:line="570" w:lineRule="exact"/>
        <w:contextualSpacing/>
        <w:rPr>
          <w:rFonts w:ascii="Times New Roman" w:hAnsi="Times New Roman" w:eastAsia="方正小标宋简体" w:cs="Times New Roman"/>
          <w:b/>
          <w:bCs/>
          <w:color w:val="auto"/>
          <w:kern w:val="44"/>
          <w:sz w:val="44"/>
          <w:szCs w:val="44"/>
          <w:highlight w:val="none"/>
          <w:lang w:val="zh-CN"/>
        </w:rPr>
      </w:pPr>
    </w:p>
    <w:p>
      <w:pP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w:t>
      </w:r>
      <w:r>
        <w:rPr>
          <w:rFonts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rPr>
        <w:t>比选申请人须知</w:t>
      </w:r>
    </w:p>
    <w:p>
      <w:pPr>
        <w:spacing w:line="57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（一）比选申请文件 </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申请人应提交比选申请文件。比选申请文件应按“正本”一套和“副本”一套分别用信封或文件盒(箱)密封，并清楚标明“正本”或“副本”字样后递交。如出现“正本”与“副本”不符之情况，以“正本”为准。</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比选申请文件正本和副本封面还应分别标明比选申请文件名称、比选申请人名称和法定代表人签名，并加盖比选申请人公章。若是由授权代理人签名，则应在比选申请文件中附有授权委托书。每一密封的信封或文件盒(箱)应注明“</w:t>
      </w:r>
      <w:r>
        <w:rPr>
          <w:rFonts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rPr>
        <w:t>1年6月</w:t>
      </w: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日</w:t>
      </w:r>
      <w:r>
        <w:rPr>
          <w:rFonts w:ascii="Times New Roman" w:hAnsi="Times New Roman" w:eastAsia="仿宋_GB2312" w:cs="Times New Roman"/>
          <w:color w:val="auto"/>
          <w:sz w:val="28"/>
          <w:szCs w:val="28"/>
          <w:highlight w:val="none"/>
        </w:rPr>
        <w:t>上午10</w:t>
      </w:r>
      <w:r>
        <w:rPr>
          <w:rFonts w:hint="default" w:ascii="Times New Roman" w:hAnsi="Times New Roman" w:eastAsia="仿宋_GB2312" w:cs="Times New Roman"/>
          <w:color w:val="auto"/>
          <w:sz w:val="28"/>
          <w:szCs w:val="28"/>
          <w:highlight w:val="none"/>
        </w:rPr>
        <w:t>时(比选时间)前</w:t>
      </w:r>
      <w:r>
        <w:rPr>
          <w:rFonts w:ascii="Times New Roman" w:hAnsi="Times New Roman" w:eastAsia="仿宋_GB2312" w:cs="Times New Roman"/>
          <w:color w:val="auto"/>
          <w:sz w:val="28"/>
          <w:szCs w:val="28"/>
          <w:highlight w:val="none"/>
        </w:rPr>
        <w:t>启封无效</w:t>
      </w:r>
      <w:r>
        <w:rPr>
          <w:rFonts w:hint="default" w:ascii="Times New Roman" w:hAnsi="Times New Roman" w:eastAsia="仿宋_GB2312" w:cs="Times New Roman"/>
          <w:color w:val="auto"/>
          <w:sz w:val="28"/>
          <w:szCs w:val="28"/>
          <w:highlight w:val="none"/>
        </w:rPr>
        <w:t>”的字样，并在</w:t>
      </w:r>
      <w:r>
        <w:rPr>
          <w:rFonts w:ascii="Times New Roman" w:hAnsi="Times New Roman" w:eastAsia="仿宋_GB2312" w:cs="Times New Roman"/>
          <w:color w:val="auto"/>
          <w:sz w:val="28"/>
          <w:szCs w:val="28"/>
          <w:highlight w:val="none"/>
        </w:rPr>
        <w:t>骑缝处</w:t>
      </w:r>
      <w:r>
        <w:rPr>
          <w:rFonts w:hint="default" w:ascii="Times New Roman" w:hAnsi="Times New Roman" w:eastAsia="仿宋_GB2312" w:cs="Times New Roman"/>
          <w:color w:val="auto"/>
          <w:sz w:val="28"/>
          <w:szCs w:val="28"/>
          <w:highlight w:val="none"/>
        </w:rPr>
        <w:t>加盖比选申请人</w:t>
      </w:r>
      <w:r>
        <w:rPr>
          <w:rFonts w:ascii="Times New Roman" w:hAnsi="Times New Roman" w:eastAsia="仿宋_GB2312" w:cs="Times New Roman"/>
          <w:color w:val="auto"/>
          <w:sz w:val="28"/>
          <w:szCs w:val="28"/>
          <w:highlight w:val="none"/>
        </w:rPr>
        <w:t>公章</w:t>
      </w:r>
      <w:r>
        <w:rPr>
          <w:rFonts w:hint="default" w:ascii="Times New Roman" w:hAnsi="Times New Roman" w:eastAsia="仿宋_GB2312" w:cs="Times New Roman"/>
          <w:color w:val="auto"/>
          <w:sz w:val="28"/>
          <w:szCs w:val="28"/>
          <w:highlight w:val="none"/>
        </w:rPr>
        <w:t>。</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3.比选申请文件</w:t>
      </w:r>
      <w:r>
        <w:rPr>
          <w:rFonts w:ascii="Times New Roman" w:hAnsi="Times New Roman" w:eastAsia="仿宋_GB2312" w:cs="Times New Roman"/>
          <w:color w:val="auto"/>
          <w:sz w:val="28"/>
          <w:szCs w:val="28"/>
          <w:highlight w:val="none"/>
        </w:rPr>
        <w:t>需</w:t>
      </w:r>
      <w:r>
        <w:rPr>
          <w:rFonts w:hint="default" w:ascii="Times New Roman" w:hAnsi="Times New Roman" w:eastAsia="仿宋_GB2312" w:cs="Times New Roman"/>
          <w:color w:val="auto"/>
          <w:sz w:val="28"/>
          <w:szCs w:val="28"/>
          <w:highlight w:val="none"/>
        </w:rPr>
        <w:t>用中文写成，并统一用A4纸打印，一</w:t>
      </w:r>
      <w:r>
        <w:rPr>
          <w:rFonts w:ascii="Times New Roman" w:hAnsi="Times New Roman" w:eastAsia="仿宋_GB2312" w:cs="Times New Roman"/>
          <w:color w:val="auto"/>
          <w:sz w:val="28"/>
          <w:szCs w:val="28"/>
          <w:highlight w:val="none"/>
        </w:rPr>
        <w:t>式</w:t>
      </w:r>
      <w:r>
        <w:rPr>
          <w:rFonts w:hint="default" w:ascii="Times New Roman" w:hAnsi="Times New Roman" w:eastAsia="仿宋_GB2312" w:cs="Times New Roman"/>
          <w:color w:val="auto"/>
          <w:sz w:val="28"/>
          <w:szCs w:val="28"/>
          <w:highlight w:val="none"/>
        </w:rPr>
        <w:t>两</w:t>
      </w:r>
      <w:r>
        <w:rPr>
          <w:rFonts w:ascii="Times New Roman" w:hAnsi="Times New Roman" w:eastAsia="仿宋_GB2312" w:cs="Times New Roman"/>
          <w:color w:val="auto"/>
          <w:sz w:val="28"/>
          <w:szCs w:val="28"/>
          <w:highlight w:val="none"/>
        </w:rPr>
        <w:t>份，</w:t>
      </w:r>
      <w:r>
        <w:rPr>
          <w:rFonts w:hint="default" w:ascii="Times New Roman" w:hAnsi="Times New Roman" w:eastAsia="仿宋_GB2312" w:cs="Times New Roman"/>
          <w:color w:val="auto"/>
          <w:sz w:val="28"/>
          <w:szCs w:val="28"/>
          <w:highlight w:val="none"/>
        </w:rPr>
        <w:t>正本一份和副本一</w:t>
      </w:r>
      <w:r>
        <w:rPr>
          <w:rFonts w:ascii="Times New Roman" w:hAnsi="Times New Roman" w:eastAsia="仿宋_GB2312" w:cs="Times New Roman"/>
          <w:color w:val="auto"/>
          <w:sz w:val="28"/>
          <w:szCs w:val="28"/>
          <w:highlight w:val="none"/>
        </w:rPr>
        <w:t>份</w:t>
      </w:r>
      <w:r>
        <w:rPr>
          <w:rFonts w:hint="default" w:ascii="Times New Roman" w:hAnsi="Times New Roman" w:eastAsia="仿宋_GB2312" w:cs="Times New Roman"/>
          <w:color w:val="auto"/>
          <w:sz w:val="28"/>
          <w:szCs w:val="28"/>
          <w:highlight w:val="none"/>
        </w:rPr>
        <w:t>，分别装</w:t>
      </w:r>
      <w:r>
        <w:rPr>
          <w:rFonts w:ascii="Times New Roman" w:hAnsi="Times New Roman" w:eastAsia="仿宋_GB2312" w:cs="Times New Roman"/>
          <w:color w:val="auto"/>
          <w:sz w:val="28"/>
          <w:szCs w:val="28"/>
          <w:highlight w:val="none"/>
        </w:rPr>
        <w:t>订成册，</w:t>
      </w:r>
      <w:r>
        <w:rPr>
          <w:rFonts w:hint="default" w:ascii="Times New Roman" w:hAnsi="Times New Roman" w:eastAsia="仿宋_GB2312" w:cs="Times New Roman"/>
          <w:color w:val="auto"/>
          <w:sz w:val="28"/>
          <w:szCs w:val="28"/>
          <w:highlight w:val="none"/>
        </w:rPr>
        <w:t>密封后</w:t>
      </w:r>
      <w:r>
        <w:rPr>
          <w:rFonts w:ascii="Times New Roman" w:hAnsi="Times New Roman" w:eastAsia="仿宋_GB2312" w:cs="Times New Roman"/>
          <w:color w:val="auto"/>
          <w:sz w:val="28"/>
          <w:szCs w:val="28"/>
          <w:highlight w:val="none"/>
        </w:rPr>
        <w:t>带到比选现场</w:t>
      </w:r>
      <w:r>
        <w:rPr>
          <w:rFonts w:hint="default" w:ascii="Times New Roman" w:hAnsi="Times New Roman" w:eastAsia="仿宋_GB2312" w:cs="Times New Roman"/>
          <w:color w:val="auto"/>
          <w:sz w:val="28"/>
          <w:szCs w:val="28"/>
          <w:highlight w:val="none"/>
        </w:rPr>
        <w:t>，提</w:t>
      </w:r>
      <w:r>
        <w:rPr>
          <w:rFonts w:ascii="Times New Roman" w:hAnsi="Times New Roman" w:eastAsia="仿宋_GB2312" w:cs="Times New Roman"/>
          <w:color w:val="auto"/>
          <w:sz w:val="28"/>
          <w:szCs w:val="28"/>
          <w:highlight w:val="none"/>
        </w:rPr>
        <w:t>交</w:t>
      </w:r>
      <w:r>
        <w:rPr>
          <w:rFonts w:hint="default" w:ascii="Times New Roman" w:hAnsi="Times New Roman" w:eastAsia="仿宋_GB2312" w:cs="Times New Roman"/>
          <w:color w:val="auto"/>
          <w:sz w:val="28"/>
          <w:szCs w:val="28"/>
          <w:highlight w:val="none"/>
        </w:rPr>
        <w:t>比</w:t>
      </w:r>
      <w:r>
        <w:rPr>
          <w:rFonts w:ascii="Times New Roman" w:hAnsi="Times New Roman" w:eastAsia="仿宋_GB2312" w:cs="Times New Roman"/>
          <w:color w:val="auto"/>
          <w:sz w:val="28"/>
          <w:szCs w:val="28"/>
          <w:highlight w:val="none"/>
        </w:rPr>
        <w:t>选工作人员。</w:t>
      </w:r>
      <w:r>
        <w:rPr>
          <w:rFonts w:hint="default" w:ascii="Times New Roman" w:hAnsi="Times New Roman" w:eastAsia="仿宋_GB2312" w:cs="Times New Roman"/>
          <w:color w:val="auto"/>
          <w:sz w:val="28"/>
          <w:szCs w:val="28"/>
          <w:highlight w:val="none"/>
        </w:rPr>
        <w:t>比选申请人</w:t>
      </w:r>
      <w:r>
        <w:rPr>
          <w:rFonts w:ascii="Times New Roman" w:hAnsi="Times New Roman" w:eastAsia="仿宋_GB2312" w:cs="Times New Roman"/>
          <w:color w:val="auto"/>
          <w:sz w:val="28"/>
          <w:szCs w:val="28"/>
          <w:highlight w:val="none"/>
        </w:rPr>
        <w:t>，须提交的</w:t>
      </w:r>
      <w:r>
        <w:rPr>
          <w:rFonts w:hint="default" w:ascii="Times New Roman" w:hAnsi="Times New Roman" w:eastAsia="仿宋_GB2312" w:cs="Times New Roman"/>
          <w:color w:val="auto"/>
          <w:sz w:val="28"/>
          <w:szCs w:val="28"/>
          <w:highlight w:val="none"/>
        </w:rPr>
        <w:t>比选申请文件每套均应包括但不限于以下内容：</w:t>
      </w:r>
      <w:bookmarkStart w:id="28" w:name="_Hlk1725965"/>
    </w:p>
    <w:p>
      <w:pPr>
        <w:ind w:firstLine="28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rPr>
        <w:t>）比选申请书(样本见第七章比选申请文件格式)；</w:t>
      </w:r>
    </w:p>
    <w:p>
      <w:pPr>
        <w:ind w:firstLine="28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（2）含法定代表人本人身份证复印件。如果有委托代理人的，应同时附法定代表人授权书、法定代表人身份复印件、委托代理人身份证复印件(样本见第七章比选申请文件格式)；</w:t>
      </w:r>
    </w:p>
    <w:p>
      <w:pPr>
        <w:spacing w:line="570" w:lineRule="exact"/>
        <w:ind w:firstLine="28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rPr>
        <w:t>）企业</w:t>
      </w:r>
      <w:r>
        <w:rPr>
          <w:rFonts w:ascii="Times New Roman" w:hAnsi="Times New Roman" w:eastAsia="仿宋_GB2312" w:cs="Times New Roman"/>
          <w:color w:val="auto"/>
          <w:sz w:val="28"/>
          <w:szCs w:val="28"/>
          <w:highlight w:val="none"/>
        </w:rPr>
        <w:t>简</w:t>
      </w:r>
      <w:r>
        <w:rPr>
          <w:rFonts w:hint="default" w:ascii="Times New Roman" w:hAnsi="Times New Roman" w:eastAsia="仿宋_GB2312" w:cs="Times New Roman"/>
          <w:color w:val="auto"/>
          <w:sz w:val="28"/>
          <w:szCs w:val="28"/>
          <w:highlight w:val="none"/>
        </w:rPr>
        <w:t>介，</w:t>
      </w:r>
      <w:r>
        <w:rPr>
          <w:rFonts w:ascii="Times New Roman" w:hAnsi="Times New Roman" w:eastAsia="仿宋_GB2312" w:cs="Times New Roman"/>
          <w:color w:val="auto"/>
          <w:sz w:val="28"/>
          <w:szCs w:val="28"/>
          <w:highlight w:val="none"/>
        </w:rPr>
        <w:t>含</w:t>
      </w:r>
      <w:r>
        <w:rPr>
          <w:rFonts w:hint="default" w:ascii="Times New Roman" w:hAnsi="Times New Roman" w:eastAsia="仿宋_GB2312" w:cs="Times New Roman"/>
          <w:color w:val="auto"/>
          <w:sz w:val="28"/>
          <w:szCs w:val="28"/>
          <w:highlight w:val="none"/>
        </w:rPr>
        <w:t>营业执照副</w:t>
      </w:r>
      <w:r>
        <w:rPr>
          <w:rFonts w:ascii="Times New Roman" w:hAnsi="Times New Roman" w:eastAsia="仿宋_GB2312" w:cs="Times New Roman"/>
          <w:color w:val="auto"/>
          <w:sz w:val="28"/>
          <w:szCs w:val="28"/>
          <w:highlight w:val="none"/>
        </w:rPr>
        <w:t>本、资质证书副本等</w:t>
      </w:r>
      <w:r>
        <w:rPr>
          <w:rFonts w:hint="default" w:ascii="Times New Roman" w:hAnsi="Times New Roman" w:eastAsia="仿宋_GB2312" w:cs="Times New Roman"/>
          <w:color w:val="auto"/>
          <w:sz w:val="28"/>
          <w:szCs w:val="28"/>
          <w:highlight w:val="none"/>
        </w:rPr>
        <w:t>彩</w:t>
      </w:r>
      <w:r>
        <w:rPr>
          <w:rFonts w:ascii="Times New Roman" w:hAnsi="Times New Roman" w:eastAsia="仿宋_GB2312" w:cs="Times New Roman"/>
          <w:color w:val="auto"/>
          <w:sz w:val="28"/>
          <w:szCs w:val="28"/>
          <w:highlight w:val="none"/>
        </w:rPr>
        <w:t>色扫描件</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 xml:space="preserve"> </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rPr>
        <w:t>）项目实施方案，包含系统架构、功能说明、实施进度及控制措施、质量控制措施、运维措施等；</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（5）项目协助运营方案，根据对本项目目标和内容的理解，提出合理的协助运营方案；</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（6）项目小组构成，项目负责人、现场负责人及成员简介及其相关资格证书的复印件(样本见第七章比选申请文件格式)； </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（7）比选报价，即对“</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购网”电子商城平台福利专区建设项目软件开发服务费 (样本见第七章比选申请文件格式)；</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（8）比</w:t>
      </w:r>
      <w:r>
        <w:rPr>
          <w:rFonts w:ascii="Times New Roman" w:hAnsi="Times New Roman" w:eastAsia="仿宋_GB2312" w:cs="Times New Roman"/>
          <w:color w:val="auto"/>
          <w:sz w:val="28"/>
          <w:szCs w:val="28"/>
          <w:highlight w:val="none"/>
        </w:rPr>
        <w:t>选</w:t>
      </w:r>
      <w:r>
        <w:rPr>
          <w:rFonts w:hint="default" w:ascii="Times New Roman" w:hAnsi="Times New Roman" w:eastAsia="仿宋_GB2312" w:cs="Times New Roman"/>
          <w:color w:val="auto"/>
          <w:sz w:val="28"/>
          <w:szCs w:val="28"/>
          <w:highlight w:val="none"/>
        </w:rPr>
        <w:t>承诺书与保密承诺函(样本见第七章比选申请文件格式)；</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（9）协助运营</w:t>
      </w:r>
      <w:r>
        <w:rPr>
          <w:rFonts w:hint="default" w:ascii="Times New Roman" w:hAnsi="Times New Roman" w:eastAsia="仿宋_GB2312" w:cs="Times New Roman"/>
          <w:bCs/>
          <w:color w:val="auto"/>
          <w:sz w:val="28"/>
          <w:szCs w:val="28"/>
          <w:highlight w:val="none"/>
        </w:rPr>
        <w:t>服务能力</w:t>
      </w:r>
      <w:r>
        <w:rPr>
          <w:rFonts w:hint="default" w:ascii="Times New Roman" w:hAnsi="Times New Roman" w:eastAsia="仿宋_GB2312" w:cs="Times New Roman"/>
          <w:color w:val="auto"/>
          <w:sz w:val="28"/>
          <w:szCs w:val="28"/>
          <w:highlight w:val="none"/>
        </w:rPr>
        <w:t>证明材料，按比选文件要求提供；</w:t>
      </w:r>
    </w:p>
    <w:p>
      <w:pPr>
        <w:spacing w:line="570" w:lineRule="exact"/>
        <w:ind w:firstLine="280" w:firstLineChars="1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（10）业绩证明材料，按比选文件要求提供； </w:t>
      </w:r>
    </w:p>
    <w:p>
      <w:pPr>
        <w:spacing w:line="570" w:lineRule="exact"/>
        <w:ind w:firstLine="280" w:firstLineChars="100"/>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（11）经营状况承诺函</w:t>
      </w:r>
      <w:r>
        <w:rPr>
          <w:rFonts w:hint="default" w:ascii="Times New Roman" w:hAnsi="Times New Roman" w:eastAsia="仿宋_GB2312" w:cs="Times New Roman"/>
          <w:color w:val="auto"/>
          <w:sz w:val="28"/>
          <w:szCs w:val="28"/>
          <w:highlight w:val="none"/>
        </w:rPr>
        <w:t>(样本见第七章比选申请文件格式)</w:t>
      </w:r>
      <w:r>
        <w:rPr>
          <w:rFonts w:hint="default" w:ascii="Times New Roman" w:hAnsi="Times New Roman" w:eastAsia="仿宋_GB2312" w:cs="Times New Roman"/>
          <w:bCs/>
          <w:color w:val="auto"/>
          <w:sz w:val="28"/>
          <w:szCs w:val="28"/>
          <w:highlight w:val="none"/>
        </w:rPr>
        <w:t>；</w:t>
      </w:r>
    </w:p>
    <w:bookmarkEnd w:id="28"/>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注：以上材料均应加盖参选单位公章</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4.比选申请人未按前述第1、2点规定执行(如未进行正副本分装、密封和标记等)，以及逾期送达比选申请文件的，比选人视该比选申请文件未能对比选文件做出实质响应，该比选申请文件作废。</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5.比选人拒绝接受以电报、电话、传真、电子邮件形式递交比选申请文件，或在比选文件规定截止时间后收到的比选申请文件。</w:t>
      </w:r>
    </w:p>
    <w:p>
      <w:pPr>
        <w:spacing w:line="57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（二）比选文件获取</w:t>
      </w:r>
    </w:p>
    <w:p>
      <w:pPr>
        <w:autoSpaceDN w:val="0"/>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 凡有意参加比选者，请自行在蜀道投资集团有限责任公司(http://www.shudaojt.com/)、四川交投物流有限公司网站（http://www.scjt-wl.com/）和四川交投智采平台（https://scjt.tabe.cn/）免费匿名下载比选文件。</w:t>
      </w:r>
    </w:p>
    <w:p>
      <w:pPr>
        <w:autoSpaceDN w:val="0"/>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 比选文件补遗书（如果有）由比选申请人在蜀道投资集团有限责任公司(http://www.shudaojt.com/)、四川交投物流有限公司网站（http://www.scjt-wl.com/）和四川交投智采平台（https://scjt.tabe.cn/）上自行查阅和下载。</w:t>
      </w:r>
    </w:p>
    <w:p>
      <w:pPr>
        <w:autoSpaceDN w:val="0"/>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autoSpaceDN w:val="0"/>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 比选申请人在递交比选文件之前无需向比选人以任何方式提供有关比选申请人的任何信息和联系方式。</w:t>
      </w:r>
    </w:p>
    <w:p>
      <w:pPr>
        <w:spacing w:line="57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（三）比选申请文件递交</w:t>
      </w:r>
    </w:p>
    <w:p>
      <w:pPr>
        <w:pStyle w:val="23"/>
        <w:numPr>
          <w:ilvl w:val="0"/>
          <w:numId w:val="0"/>
        </w:numPr>
        <w:spacing w:line="600" w:lineRule="exact"/>
        <w:ind w:left="560" w:leftChars="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1.比选申请</w:t>
      </w:r>
      <w:r>
        <w:rPr>
          <w:rFonts w:hint="eastAsia" w:ascii="Times New Roman" w:hAnsi="Times New Roman" w:eastAsia="仿宋_GB2312" w:cs="Times New Roman"/>
          <w:color w:val="auto"/>
          <w:sz w:val="28"/>
          <w:szCs w:val="28"/>
          <w:highlight w:val="none"/>
          <w:lang w:eastAsia="zh-CN"/>
        </w:rPr>
        <w:t>文件</w:t>
      </w:r>
      <w:r>
        <w:rPr>
          <w:rFonts w:hint="eastAsia" w:ascii="Times New Roman" w:hAnsi="Times New Roman" w:eastAsia="仿宋_GB2312" w:cs="Times New Roman"/>
          <w:color w:val="auto"/>
          <w:sz w:val="28"/>
          <w:szCs w:val="28"/>
          <w:highlight w:val="none"/>
        </w:rPr>
        <w:t>递交时间：2021年</w:t>
      </w: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25</w:t>
      </w:r>
      <w:r>
        <w:rPr>
          <w:rFonts w:hint="eastAsia" w:ascii="Times New Roman" w:hAnsi="Times New Roman" w:eastAsia="仿宋_GB2312" w:cs="Times New Roman"/>
          <w:color w:val="auto"/>
          <w:sz w:val="28"/>
          <w:szCs w:val="28"/>
          <w:highlight w:val="none"/>
        </w:rPr>
        <w:t>日上午9</w:t>
      </w:r>
      <w:r>
        <w:rPr>
          <w:rFonts w:hint="eastAsia" w:ascii="Times New Roman" w:hAnsi="Times New Roman" w:eastAsia="仿宋_GB2312" w:cs="Times New Roman"/>
          <w:color w:val="auto"/>
          <w:sz w:val="28"/>
          <w:szCs w:val="28"/>
          <w:highlight w:val="none"/>
          <w:lang w:eastAsia="zh-CN"/>
        </w:rPr>
        <w:t>时</w:t>
      </w:r>
      <w:r>
        <w:rPr>
          <w:rFonts w:hint="eastAsia" w:ascii="Times New Roman" w:hAnsi="Times New Roman" w:eastAsia="仿宋_GB2312" w:cs="Times New Roman"/>
          <w:color w:val="auto"/>
          <w:sz w:val="28"/>
          <w:szCs w:val="28"/>
          <w:highlight w:val="none"/>
        </w:rPr>
        <w:t>至10</w:t>
      </w:r>
      <w:r>
        <w:rPr>
          <w:rFonts w:hint="eastAsia" w:ascii="Times New Roman" w:hAnsi="Times New Roman" w:eastAsia="仿宋_GB2312" w:cs="Times New Roman"/>
          <w:color w:val="auto"/>
          <w:sz w:val="28"/>
          <w:szCs w:val="28"/>
          <w:highlight w:val="none"/>
          <w:lang w:eastAsia="zh-CN"/>
        </w:rPr>
        <w:t>时</w:t>
      </w:r>
      <w:r>
        <w:rPr>
          <w:rFonts w:hint="eastAsia" w:ascii="Times New Roman" w:hAnsi="Times New Roman" w:eastAsia="仿宋_GB2312" w:cs="Times New Roman"/>
          <w:color w:val="auto"/>
          <w:sz w:val="28"/>
          <w:szCs w:val="28"/>
          <w:highlight w:val="none"/>
        </w:rPr>
        <w:t>。</w:t>
      </w:r>
    </w:p>
    <w:p>
      <w:pPr>
        <w:pStyle w:val="23"/>
        <w:numPr>
          <w:ilvl w:val="0"/>
          <w:numId w:val="0"/>
        </w:numPr>
        <w:spacing w:line="600" w:lineRule="exact"/>
        <w:ind w:left="560" w:leftChars="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比选申请文件递交截止</w:t>
      </w:r>
      <w:r>
        <w:rPr>
          <w:rFonts w:hint="eastAsia" w:ascii="Times New Roman" w:hAnsi="Times New Roman" w:eastAsia="仿宋_GB2312" w:cs="Times New Roman"/>
          <w:color w:val="auto"/>
          <w:sz w:val="28"/>
          <w:szCs w:val="28"/>
          <w:highlight w:val="none"/>
          <w:lang w:eastAsia="zh-CN"/>
        </w:rPr>
        <w:t>及开标时间</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rPr>
        <w:t>1年6月</w:t>
      </w: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日</w:t>
      </w:r>
      <w:r>
        <w:rPr>
          <w:rFonts w:ascii="Times New Roman" w:hAnsi="Times New Roman" w:eastAsia="仿宋_GB2312" w:cs="Times New Roman"/>
          <w:color w:val="auto"/>
          <w:sz w:val="28"/>
          <w:szCs w:val="28"/>
          <w:highlight w:val="none"/>
        </w:rPr>
        <w:t>上午10</w:t>
      </w:r>
      <w:r>
        <w:rPr>
          <w:rFonts w:hint="default" w:ascii="Times New Roman" w:hAnsi="Times New Roman" w:eastAsia="仿宋_GB2312" w:cs="Times New Roman"/>
          <w:color w:val="auto"/>
          <w:sz w:val="28"/>
          <w:szCs w:val="28"/>
          <w:highlight w:val="none"/>
        </w:rPr>
        <w:t>时</w:t>
      </w:r>
      <w:r>
        <w:rPr>
          <w:rFonts w:ascii="Times New Roman" w:hAnsi="Times New Roman" w:eastAsia="仿宋_GB2312" w:cs="Times New Roman"/>
          <w:color w:val="auto"/>
          <w:sz w:val="28"/>
          <w:szCs w:val="28"/>
          <w:highlight w:val="none"/>
        </w:rPr>
        <w:t>。。</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.比选申请文件递交的地点：四川省成都市锦江区三色路163号银海芯座B座22楼2217室</w:t>
      </w:r>
      <w:r>
        <w:rPr>
          <w:rFonts w:ascii="Times New Roman" w:hAnsi="Times New Roman" w:eastAsia="仿宋_GB2312" w:cs="Times New Roman"/>
          <w:color w:val="auto"/>
          <w:sz w:val="28"/>
          <w:szCs w:val="28"/>
          <w:highlight w:val="none"/>
        </w:rPr>
        <w:t>。</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 逾期送达或者未送达指定地点的文件，比选人不予受理。</w:t>
      </w:r>
    </w:p>
    <w:p>
      <w:pPr>
        <w:spacing w:line="57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（四）比选报价</w:t>
      </w:r>
    </w:p>
    <w:p>
      <w:pPr>
        <w:spacing w:line="570" w:lineRule="exact"/>
        <w:ind w:firstLine="532"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w w:val="95"/>
          <w:sz w:val="28"/>
          <w:szCs w:val="28"/>
          <w:highlight w:val="none"/>
        </w:rPr>
        <w:t>1.</w:t>
      </w:r>
      <w:r>
        <w:rPr>
          <w:rFonts w:hint="default" w:ascii="Times New Roman" w:hAnsi="Times New Roman" w:eastAsia="仿宋_GB2312" w:cs="Times New Roman"/>
          <w:color w:val="auto"/>
          <w:sz w:val="28"/>
          <w:szCs w:val="28"/>
          <w:highlight w:val="none"/>
        </w:rPr>
        <w:t>比选申请人应对比选报价进行严格的费用预算。所有参加本次比选的比选申请人应充分计算和考虑其完成项目需要支付的各项费用并计入比选报价总价，比选人不负责承担比选申请人中选后开展项目产生的其他费用。</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2.比选申请人的比选报价应费用适中，不得以低于成本的报价进行恶性竞争，最低比选报价并非中选的唯一条件。</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3.比选申请人的比选报价应是固定价，而非浮动价。本</w:t>
      </w:r>
      <w:r>
        <w:rPr>
          <w:rFonts w:ascii="Times New Roman" w:hAnsi="Times New Roman" w:eastAsia="仿宋_GB2312" w:cs="Times New Roman"/>
          <w:color w:val="auto"/>
          <w:sz w:val="28"/>
          <w:szCs w:val="28"/>
          <w:highlight w:val="none"/>
        </w:rPr>
        <w:t>项目</w:t>
      </w:r>
      <w:r>
        <w:rPr>
          <w:rFonts w:hint="default" w:ascii="Times New Roman" w:hAnsi="Times New Roman" w:eastAsia="仿宋_GB2312" w:cs="Times New Roman"/>
          <w:color w:val="auto"/>
          <w:sz w:val="28"/>
          <w:szCs w:val="28"/>
          <w:highlight w:val="none"/>
        </w:rPr>
        <w:t>平台福利专区开发建设费用</w:t>
      </w:r>
      <w:r>
        <w:rPr>
          <w:rFonts w:ascii="Times New Roman" w:hAnsi="Times New Roman" w:eastAsia="仿宋_GB2312" w:cs="Times New Roman"/>
          <w:color w:val="auto"/>
          <w:sz w:val="28"/>
          <w:szCs w:val="28"/>
          <w:highlight w:val="none"/>
        </w:rPr>
        <w:t>最高限</w:t>
      </w:r>
      <w:r>
        <w:rPr>
          <w:rFonts w:hint="default" w:ascii="Times New Roman" w:hAnsi="Times New Roman" w:eastAsia="仿宋_GB2312" w:cs="Times New Roman"/>
          <w:color w:val="auto"/>
          <w:sz w:val="28"/>
          <w:szCs w:val="28"/>
          <w:highlight w:val="none"/>
        </w:rPr>
        <w:t>价</w:t>
      </w:r>
      <w:r>
        <w:rPr>
          <w:rFonts w:ascii="Times New Roman" w:hAnsi="Times New Roman" w:eastAsia="仿宋_GB2312" w:cs="Times New Roman"/>
          <w:color w:val="auto"/>
          <w:sz w:val="28"/>
          <w:szCs w:val="28"/>
          <w:highlight w:val="none"/>
        </w:rPr>
        <w:t>为</w:t>
      </w:r>
      <w:r>
        <w:rPr>
          <w:rFonts w:ascii="Times New Roman" w:hAnsi="Times New Roman" w:eastAsia="仿宋_GB2312" w:cs="Times New Roman"/>
          <w:color w:val="auto"/>
          <w:sz w:val="28"/>
          <w:szCs w:val="28"/>
          <w:highlight w:val="none"/>
          <w:u w:val="single"/>
        </w:rPr>
        <w:t>：</w:t>
      </w:r>
      <w:r>
        <w:rPr>
          <w:rFonts w:hint="default" w:ascii="Times New Roman" w:hAnsi="Times New Roman" w:eastAsia="仿宋_GB2312" w:cs="Times New Roman"/>
          <w:color w:val="auto"/>
          <w:sz w:val="28"/>
          <w:szCs w:val="28"/>
          <w:highlight w:val="none"/>
          <w:u w:val="single"/>
          <w:lang w:val="en-US" w:eastAsia="zh-CN"/>
        </w:rPr>
        <w:t>48</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万元人</w:t>
      </w:r>
      <w:r>
        <w:rPr>
          <w:rFonts w:ascii="Times New Roman" w:hAnsi="Times New Roman" w:eastAsia="仿宋_GB2312" w:cs="Times New Roman"/>
          <w:color w:val="auto"/>
          <w:sz w:val="28"/>
          <w:szCs w:val="28"/>
          <w:highlight w:val="none"/>
        </w:rPr>
        <w:t>民币</w:t>
      </w:r>
      <w:r>
        <w:rPr>
          <w:rFonts w:hint="default" w:ascii="Times New Roman" w:hAnsi="Times New Roman" w:eastAsia="仿宋_GB2312" w:cs="Times New Roman"/>
          <w:color w:val="auto"/>
          <w:sz w:val="28"/>
          <w:szCs w:val="28"/>
          <w:highlight w:val="none"/>
        </w:rPr>
        <w:t>（含税</w:t>
      </w:r>
      <w:r>
        <w:rPr>
          <w:rFonts w:ascii="Times New Roman" w:hAnsi="Times New Roman" w:eastAsia="仿宋_GB2312" w:cs="Times New Roman"/>
          <w:color w:val="auto"/>
          <w:sz w:val="28"/>
          <w:szCs w:val="28"/>
          <w:highlight w:val="none"/>
        </w:rPr>
        <w:t>价</w:t>
      </w:r>
      <w:r>
        <w:rPr>
          <w:rFonts w:hint="default" w:ascii="Times New Roman" w:hAnsi="Times New Roman" w:eastAsia="仿宋_GB2312" w:cs="Times New Roman"/>
          <w:color w:val="auto"/>
          <w:sz w:val="28"/>
          <w:szCs w:val="28"/>
          <w:highlight w:val="none"/>
        </w:rPr>
        <w:t>），超过</w:t>
      </w:r>
      <w:r>
        <w:rPr>
          <w:rFonts w:ascii="Times New Roman" w:hAnsi="Times New Roman" w:eastAsia="仿宋_GB2312" w:cs="Times New Roman"/>
          <w:color w:val="auto"/>
          <w:sz w:val="28"/>
          <w:szCs w:val="28"/>
          <w:highlight w:val="none"/>
        </w:rPr>
        <w:t>最高限价的报价将不被</w:t>
      </w:r>
      <w:r>
        <w:rPr>
          <w:rFonts w:hint="default" w:ascii="Times New Roman" w:hAnsi="Times New Roman" w:eastAsia="仿宋_GB2312" w:cs="Times New Roman"/>
          <w:color w:val="auto"/>
          <w:sz w:val="28"/>
          <w:szCs w:val="28"/>
          <w:highlight w:val="none"/>
        </w:rPr>
        <w:t>接</w:t>
      </w:r>
      <w:r>
        <w:rPr>
          <w:rFonts w:ascii="Times New Roman" w:hAnsi="Times New Roman" w:eastAsia="仿宋_GB2312" w:cs="Times New Roman"/>
          <w:color w:val="auto"/>
          <w:sz w:val="28"/>
          <w:szCs w:val="28"/>
          <w:highlight w:val="none"/>
        </w:rPr>
        <w:t>受</w:t>
      </w:r>
      <w:r>
        <w:rPr>
          <w:rFonts w:hint="default" w:ascii="Times New Roman" w:hAnsi="Times New Roman" w:eastAsia="仿宋_GB2312" w:cs="Times New Roman"/>
          <w:color w:val="auto"/>
          <w:sz w:val="28"/>
          <w:szCs w:val="28"/>
          <w:highlight w:val="none"/>
        </w:rPr>
        <w:t>。</w:t>
      </w:r>
    </w:p>
    <w:p>
      <w:pPr>
        <w:spacing w:line="360" w:lineRule="auto"/>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4.报</w:t>
      </w:r>
      <w:r>
        <w:rPr>
          <w:rFonts w:ascii="Times New Roman" w:hAnsi="Times New Roman" w:eastAsia="仿宋_GB2312" w:cs="Times New Roman"/>
          <w:color w:val="auto"/>
          <w:sz w:val="28"/>
          <w:szCs w:val="28"/>
          <w:highlight w:val="none"/>
        </w:rPr>
        <w:t>价以</w:t>
      </w:r>
      <w:r>
        <w:rPr>
          <w:rFonts w:hint="default" w:ascii="Times New Roman" w:hAnsi="Times New Roman" w:eastAsia="仿宋_GB2312" w:cs="Times New Roman"/>
          <w:color w:val="auto"/>
          <w:sz w:val="28"/>
          <w:szCs w:val="28"/>
          <w:highlight w:val="none"/>
        </w:rPr>
        <w:t>人民币报价。比选申请人只能有一个报价，有两个报价及以上者按最低报价计算。</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5.比选申请人同意比选人在比选文件与合同之外增加设备时，比选申请人将以不高于本次报价的形式为比选人提供相应的服务。</w:t>
      </w:r>
    </w:p>
    <w:p>
      <w:pPr>
        <w:spacing w:line="57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（五）参选项目</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1.比选申请人按照比选文件规定，根据本机构实际资质条件，报名参加该项目的比选。</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2.中选人不得将中选项目转包或分包给其他单位或个人，一经发现将停止其工作，取消本次中选资格，由其承担因此产生的一切法律责任。</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3.比选申请人一旦中选，应严格按照国家有关法律法规规定开展工作，在工作期间，不得更换项目组具体成员，且必须在约定的时间内，保证工作质量，完成工作。</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4.中选人需为</w:t>
      </w:r>
      <w:r>
        <w:rPr>
          <w:rFonts w:ascii="Times New Roman" w:hAnsi="Times New Roman" w:eastAsia="仿宋_GB2312" w:cs="Times New Roman"/>
          <w:color w:val="auto"/>
          <w:sz w:val="28"/>
          <w:szCs w:val="28"/>
          <w:highlight w:val="none"/>
        </w:rPr>
        <w:t>比选人</w:t>
      </w:r>
      <w:r>
        <w:rPr>
          <w:rFonts w:hint="default" w:ascii="Times New Roman" w:hAnsi="Times New Roman" w:eastAsia="仿宋_GB2312" w:cs="Times New Roman"/>
          <w:color w:val="auto"/>
          <w:sz w:val="28"/>
          <w:szCs w:val="28"/>
          <w:highlight w:val="none"/>
        </w:rPr>
        <w:t>提供如下服务：</w:t>
      </w:r>
    </w:p>
    <w:p>
      <w:pPr>
        <w:pStyle w:val="19"/>
        <w:spacing w:line="570" w:lineRule="exact"/>
        <w:ind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（1）负责比选人的项目开发、协助运营和运维；</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（2）安排专人响应比选人需求；</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（3）随时接受口头或电话咨询；</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（4）参加比选</w:t>
      </w:r>
      <w:r>
        <w:rPr>
          <w:rFonts w:ascii="Times New Roman" w:hAnsi="Times New Roman" w:eastAsia="仿宋_GB2312" w:cs="Times New Roman"/>
          <w:color w:val="auto"/>
          <w:sz w:val="28"/>
          <w:szCs w:val="28"/>
          <w:highlight w:val="none"/>
        </w:rPr>
        <w:t>人</w:t>
      </w:r>
      <w:r>
        <w:rPr>
          <w:rFonts w:hint="default" w:ascii="Times New Roman" w:hAnsi="Times New Roman" w:eastAsia="仿宋_GB2312" w:cs="Times New Roman"/>
          <w:color w:val="auto"/>
          <w:sz w:val="28"/>
          <w:szCs w:val="28"/>
          <w:highlight w:val="none"/>
        </w:rPr>
        <w:t>相关项目会议；</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（5）提</w:t>
      </w:r>
      <w:r>
        <w:rPr>
          <w:rFonts w:ascii="Times New Roman" w:hAnsi="Times New Roman" w:eastAsia="仿宋_GB2312" w:cs="Times New Roman"/>
          <w:color w:val="auto"/>
          <w:sz w:val="28"/>
          <w:szCs w:val="28"/>
          <w:highlight w:val="none"/>
        </w:rPr>
        <w:t>交</w:t>
      </w:r>
      <w:r>
        <w:rPr>
          <w:rFonts w:hint="default" w:ascii="Times New Roman" w:hAnsi="Times New Roman" w:eastAsia="仿宋_GB2312" w:cs="Times New Roman"/>
          <w:color w:val="auto"/>
          <w:sz w:val="28"/>
          <w:szCs w:val="28"/>
          <w:highlight w:val="none"/>
        </w:rPr>
        <w:t>项目结果报</w:t>
      </w:r>
      <w:r>
        <w:rPr>
          <w:rFonts w:ascii="Times New Roman" w:hAnsi="Times New Roman" w:eastAsia="仿宋_GB2312" w:cs="Times New Roman"/>
          <w:color w:val="auto"/>
          <w:sz w:val="28"/>
          <w:szCs w:val="28"/>
          <w:highlight w:val="none"/>
        </w:rPr>
        <w:t>告</w:t>
      </w:r>
      <w:r>
        <w:rPr>
          <w:rFonts w:hint="default" w:ascii="Times New Roman" w:hAnsi="Times New Roman" w:eastAsia="仿宋_GB2312" w:cs="Times New Roman"/>
          <w:color w:val="auto"/>
          <w:sz w:val="28"/>
          <w:szCs w:val="28"/>
          <w:highlight w:val="none"/>
        </w:rPr>
        <w:t>。</w:t>
      </w:r>
    </w:p>
    <w:p>
      <w:pPr>
        <w:spacing w:line="570" w:lineRule="exact"/>
        <w:ind w:firstLine="420" w:firstLineChars="15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（六）其他事项</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申请人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2.评审后，比选人应在五个工作日内公布比选结果，比选人不承担对未中选比选申请人的解释责任。</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3.比选申请人在比选过程中发生的一切费用，无论是否中选，均由其自行承担。</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4.无论比选结果如何，比选申请人向比选人递交的一切文件资料不予退还。</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任何要求对比选文件澄清的比选申请人，均应以书面形式(包括电报、电传、传真)通知比选人。比选人将视情况确定采用适当方式予以澄清或以书面形式予以答复，并在其认为必要时，将不标明查询来源的书面答复通知每个比选申请人。</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6.在比选文件规定比选申请文件递交截止日期2日前，无论出于何种原因，比选人可主动地或在解答比选申请人要求澄清的问题时对比选文件进行修改。</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28"/>
          <w:szCs w:val="28"/>
          <w:highlight w:val="none"/>
        </w:rPr>
        <w:t>比选文件的修改将在蜀道投资集团有限责任公司官网</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四川交投物流有限公司官网</w:t>
      </w:r>
      <w:r>
        <w:rPr>
          <w:rFonts w:hint="eastAsia" w:ascii="Times New Roman" w:hAnsi="Times New Roman" w:eastAsia="仿宋_GB2312" w:cs="Times New Roman"/>
          <w:color w:val="auto"/>
          <w:sz w:val="28"/>
          <w:szCs w:val="28"/>
          <w:highlight w:val="none"/>
          <w:lang w:eastAsia="zh-CN"/>
        </w:rPr>
        <w:t>和四川交投智采平台</w:t>
      </w:r>
      <w:r>
        <w:rPr>
          <w:rFonts w:hint="default" w:ascii="Times New Roman" w:hAnsi="Times New Roman" w:eastAsia="仿宋_GB2312" w:cs="Times New Roman"/>
          <w:color w:val="auto"/>
          <w:sz w:val="28"/>
          <w:szCs w:val="28"/>
          <w:highlight w:val="none"/>
        </w:rPr>
        <w:t>发布，比选申请人请及时关注上述网站，比选人不再另行通知。</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8.比选文件的修改书将构成比选文件的一部分，对</w:t>
      </w:r>
      <w:r>
        <w:rPr>
          <w:rFonts w:ascii="Times New Roman" w:hAnsi="Times New Roman" w:eastAsia="仿宋_GB2312" w:cs="Times New Roman"/>
          <w:color w:val="auto"/>
          <w:sz w:val="28"/>
          <w:szCs w:val="28"/>
          <w:highlight w:val="none"/>
        </w:rPr>
        <w:t>参与</w:t>
      </w:r>
      <w:r>
        <w:rPr>
          <w:rFonts w:hint="default" w:ascii="Times New Roman" w:hAnsi="Times New Roman" w:eastAsia="仿宋_GB2312" w:cs="Times New Roman"/>
          <w:color w:val="auto"/>
          <w:sz w:val="28"/>
          <w:szCs w:val="28"/>
          <w:highlight w:val="none"/>
        </w:rPr>
        <w:t>双方都具有约束力。</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比选申请人应认真阅读比选文件中所有的事项、格式条款和规范要求等。比选申请人没有对比选文件全面做出实质性响应是比选申请人的风险。比选人有权拒绝没有对比选文件要求做出实质性响应的比选申请文件。</w:t>
      </w:r>
    </w:p>
    <w:p>
      <w:pPr>
        <w:widowControl/>
        <w:jc w:val="left"/>
        <w:rPr>
          <w:rFonts w:ascii="Times New Roman" w:hAnsi="Times New Roman" w:eastAsia="黑体" w:cs="Times New Roman"/>
          <w:color w:val="auto"/>
          <w:sz w:val="32"/>
          <w:szCs w:val="32"/>
          <w:highlight w:val="none"/>
        </w:rPr>
      </w:pPr>
      <w:bookmarkStart w:id="29" w:name="_Toc1301424"/>
      <w:bookmarkStart w:id="30" w:name="_Toc448516845"/>
      <w:r>
        <w:rPr>
          <w:rFonts w:ascii="Times New Roman" w:hAnsi="Times New Roman" w:eastAsia="黑体" w:cs="Times New Roman"/>
          <w:color w:val="auto"/>
          <w:sz w:val="32"/>
          <w:szCs w:val="32"/>
          <w:highlight w:val="none"/>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color w:val="auto"/>
          <w:kern w:val="44"/>
          <w:sz w:val="44"/>
          <w:szCs w:val="44"/>
          <w:highlight w:val="none"/>
          <w:lang w:val="zh-CN"/>
        </w:rPr>
      </w:pPr>
      <w:bookmarkStart w:id="31" w:name="_Toc21457"/>
      <w:bookmarkStart w:id="32" w:name="_Toc38447190"/>
      <w:bookmarkStart w:id="33" w:name="_Toc19911"/>
      <w:r>
        <w:rPr>
          <w:rFonts w:hint="default" w:ascii="Times New Roman" w:hAnsi="Times New Roman" w:eastAsia="方正小标宋简体" w:cs="Times New Roman"/>
          <w:b/>
          <w:bCs/>
          <w:color w:val="auto"/>
          <w:kern w:val="44"/>
          <w:sz w:val="44"/>
          <w:szCs w:val="44"/>
          <w:highlight w:val="none"/>
          <w:lang w:val="zh-CN"/>
        </w:rPr>
        <w:t>比选办法和标准</w:t>
      </w:r>
      <w:bookmarkEnd w:id="31"/>
      <w:bookmarkEnd w:id="32"/>
      <w:bookmarkEnd w:id="33"/>
    </w:p>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一、比选办法</w:t>
      </w:r>
      <w:bookmarkEnd w:id="29"/>
      <w:bookmarkEnd w:id="30"/>
      <w:r>
        <w:rPr>
          <w:rFonts w:hint="default" w:ascii="Times New Roman" w:hAnsi="Times New Roman" w:eastAsia="黑体" w:cs="Times New Roman"/>
          <w:color w:val="auto"/>
          <w:sz w:val="32"/>
          <w:szCs w:val="32"/>
          <w:highlight w:val="none"/>
        </w:rPr>
        <w:t>和</w:t>
      </w:r>
      <w:r>
        <w:rPr>
          <w:rFonts w:ascii="Times New Roman" w:hAnsi="Times New Roman" w:eastAsia="黑体" w:cs="Times New Roman"/>
          <w:color w:val="auto"/>
          <w:sz w:val="32"/>
          <w:szCs w:val="32"/>
          <w:highlight w:val="none"/>
        </w:rPr>
        <w:t>标准</w:t>
      </w:r>
    </w:p>
    <w:p>
      <w:pPr>
        <w:spacing w:line="570" w:lineRule="exact"/>
        <w:ind w:firstLine="560" w:firstLineChars="20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(一)比</w:t>
      </w:r>
      <w:r>
        <w:rPr>
          <w:rFonts w:ascii="Times New Roman" w:hAnsi="Times New Roman" w:eastAsia="楷体" w:cs="Times New Roman"/>
          <w:color w:val="auto"/>
          <w:sz w:val="28"/>
          <w:szCs w:val="28"/>
          <w:highlight w:val="none"/>
        </w:rPr>
        <w:t>选</w:t>
      </w:r>
      <w:r>
        <w:rPr>
          <w:rFonts w:hint="default" w:ascii="Times New Roman" w:hAnsi="Times New Roman" w:eastAsia="楷体" w:cs="Times New Roman"/>
          <w:color w:val="auto"/>
          <w:sz w:val="28"/>
          <w:szCs w:val="28"/>
          <w:highlight w:val="none"/>
        </w:rPr>
        <w:t>方法</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1.比选人定于</w:t>
      </w:r>
      <w:r>
        <w:rPr>
          <w:rFonts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rPr>
        <w:t>1年6月</w:t>
      </w: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日</w:t>
      </w:r>
      <w:r>
        <w:rPr>
          <w:rFonts w:ascii="Times New Roman" w:hAnsi="Times New Roman" w:eastAsia="仿宋_GB2312" w:cs="Times New Roman"/>
          <w:color w:val="auto"/>
          <w:sz w:val="28"/>
          <w:szCs w:val="28"/>
          <w:highlight w:val="none"/>
        </w:rPr>
        <w:t>上午10</w:t>
      </w:r>
      <w:r>
        <w:rPr>
          <w:rFonts w:hint="default" w:ascii="Times New Roman" w:hAnsi="Times New Roman" w:eastAsia="仿宋_GB2312" w:cs="Times New Roman"/>
          <w:color w:val="auto"/>
          <w:sz w:val="28"/>
          <w:szCs w:val="28"/>
          <w:highlight w:val="none"/>
        </w:rPr>
        <w:t>时在四川省成都市锦江区三色路163号银海芯座B座22楼2217室公开进行比选。比选申请人</w:t>
      </w:r>
      <w:r>
        <w:rPr>
          <w:rFonts w:ascii="Times New Roman" w:hAnsi="Times New Roman" w:eastAsia="仿宋_GB2312" w:cs="Times New Roman"/>
          <w:color w:val="auto"/>
          <w:sz w:val="28"/>
          <w:szCs w:val="28"/>
          <w:highlight w:val="none"/>
        </w:rPr>
        <w:t>少于三</w:t>
      </w:r>
      <w:r>
        <w:rPr>
          <w:rFonts w:hint="default" w:ascii="Times New Roman" w:hAnsi="Times New Roman" w:eastAsia="仿宋_GB2312" w:cs="Times New Roman"/>
          <w:color w:val="auto"/>
          <w:sz w:val="28"/>
          <w:szCs w:val="28"/>
          <w:highlight w:val="none"/>
        </w:rPr>
        <w:t>个</w:t>
      </w:r>
      <w:r>
        <w:rPr>
          <w:rFonts w:ascii="Times New Roman" w:hAnsi="Times New Roman" w:eastAsia="仿宋_GB2312" w:cs="Times New Roman"/>
          <w:color w:val="auto"/>
          <w:sz w:val="28"/>
          <w:szCs w:val="28"/>
          <w:highlight w:val="none"/>
        </w:rPr>
        <w:t>的，将依据有关规定重新组织比选。</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2.比选时，比选人将当众查验比选申请文件密封情况、参</w:t>
      </w:r>
      <w:r>
        <w:rPr>
          <w:rFonts w:ascii="Times New Roman" w:hAnsi="Times New Roman" w:eastAsia="仿宋_GB2312" w:cs="Times New Roman"/>
          <w:color w:val="auto"/>
          <w:sz w:val="28"/>
          <w:szCs w:val="28"/>
          <w:highlight w:val="none"/>
        </w:rPr>
        <w:t>加比选会议的</w:t>
      </w:r>
      <w:r>
        <w:rPr>
          <w:rFonts w:hint="default" w:ascii="Times New Roman" w:hAnsi="Times New Roman" w:eastAsia="仿宋_GB2312" w:cs="Times New Roman"/>
          <w:color w:val="auto"/>
          <w:sz w:val="28"/>
          <w:szCs w:val="28"/>
          <w:highlight w:val="none"/>
        </w:rPr>
        <w:t>比选申请人法</w:t>
      </w:r>
      <w:r>
        <w:rPr>
          <w:rFonts w:ascii="Times New Roman" w:hAnsi="Times New Roman" w:eastAsia="仿宋_GB2312" w:cs="Times New Roman"/>
          <w:color w:val="auto"/>
          <w:sz w:val="28"/>
          <w:szCs w:val="28"/>
          <w:highlight w:val="none"/>
        </w:rPr>
        <w:t>定</w:t>
      </w:r>
      <w:r>
        <w:rPr>
          <w:rFonts w:hint="default" w:ascii="Times New Roman" w:hAnsi="Times New Roman" w:eastAsia="仿宋_GB2312" w:cs="Times New Roman"/>
          <w:color w:val="auto"/>
          <w:sz w:val="28"/>
          <w:szCs w:val="28"/>
          <w:highlight w:val="none"/>
        </w:rPr>
        <w:t>代表人身</w:t>
      </w:r>
      <w:r>
        <w:rPr>
          <w:rFonts w:ascii="Times New Roman" w:hAnsi="Times New Roman" w:eastAsia="仿宋_GB2312" w:cs="Times New Roman"/>
          <w:color w:val="auto"/>
          <w:sz w:val="28"/>
          <w:szCs w:val="28"/>
          <w:highlight w:val="none"/>
        </w:rPr>
        <w:t>份证原件或其委托代理人</w:t>
      </w:r>
      <w:r>
        <w:rPr>
          <w:rFonts w:hint="default" w:ascii="Times New Roman" w:hAnsi="Times New Roman" w:eastAsia="仿宋_GB2312" w:cs="Times New Roman"/>
          <w:color w:val="auto"/>
          <w:sz w:val="28"/>
          <w:szCs w:val="28"/>
          <w:highlight w:val="none"/>
        </w:rPr>
        <w:t>身份证原件和</w:t>
      </w:r>
      <w:r>
        <w:rPr>
          <w:rFonts w:ascii="Times New Roman" w:hAnsi="Times New Roman" w:eastAsia="仿宋_GB2312" w:cs="Times New Roman"/>
          <w:color w:val="auto"/>
          <w:sz w:val="28"/>
          <w:szCs w:val="28"/>
          <w:highlight w:val="none"/>
        </w:rPr>
        <w:t>授权委</w:t>
      </w:r>
      <w:r>
        <w:rPr>
          <w:rFonts w:hint="default" w:ascii="Times New Roman" w:hAnsi="Times New Roman" w:eastAsia="仿宋_GB2312" w:cs="Times New Roman"/>
          <w:color w:val="auto"/>
          <w:sz w:val="28"/>
          <w:szCs w:val="28"/>
          <w:highlight w:val="none"/>
        </w:rPr>
        <w:t>托</w:t>
      </w:r>
      <w:r>
        <w:rPr>
          <w:rFonts w:ascii="Times New Roman" w:hAnsi="Times New Roman" w:eastAsia="仿宋_GB2312" w:cs="Times New Roman"/>
          <w:color w:val="auto"/>
          <w:sz w:val="28"/>
          <w:szCs w:val="28"/>
          <w:highlight w:val="none"/>
        </w:rPr>
        <w:t>书原件</w:t>
      </w:r>
      <w:r>
        <w:rPr>
          <w:rFonts w:hint="default" w:ascii="Times New Roman" w:hAnsi="Times New Roman" w:eastAsia="仿宋_GB2312" w:cs="Times New Roman"/>
          <w:color w:val="auto"/>
          <w:sz w:val="28"/>
          <w:szCs w:val="28"/>
          <w:highlight w:val="none"/>
        </w:rPr>
        <w:t>，确认无误后拆封，宣读比选申请人名称、撤销比选申请通知(如果有)，以及比选人认为合适的其他内容并加以记录。</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3.对按本比选文件规定的格式、内容和要求制作的比选申请文件进行符合性审查，只有通过符合性审查的比选申请文件才能进入下一阶段的评审，符合性审查的主要内容如下：</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（1）比选申请文件是否齐全，是否按照比选文件规定的格式、内容填写；</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（2）比选申请文件正、副本是否按比选文件规定分别密封、标注，是否签字和加盖公章；</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（3）比选申请文件正、副本主要条款是否—致；</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（4）比选报价为固定价且</w:t>
      </w:r>
      <w:r>
        <w:rPr>
          <w:rFonts w:ascii="Times New Roman" w:hAnsi="Times New Roman" w:eastAsia="仿宋_GB2312" w:cs="Times New Roman"/>
          <w:color w:val="auto"/>
          <w:sz w:val="28"/>
          <w:szCs w:val="28"/>
          <w:highlight w:val="none"/>
        </w:rPr>
        <w:t>只能有一个有效报价</w:t>
      </w:r>
      <w:r>
        <w:rPr>
          <w:rFonts w:hint="default" w:ascii="Times New Roman" w:hAnsi="Times New Roman" w:eastAsia="仿宋_GB2312" w:cs="Times New Roman"/>
          <w:color w:val="auto"/>
          <w:sz w:val="28"/>
          <w:szCs w:val="28"/>
          <w:highlight w:val="none"/>
        </w:rPr>
        <w:t>；</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（5）比选申请文件是否按时递交；</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（6）技术</w:t>
      </w:r>
      <w:r>
        <w:rPr>
          <w:rFonts w:ascii="Times New Roman" w:hAnsi="Times New Roman" w:eastAsia="仿宋_GB2312" w:cs="Times New Roman"/>
          <w:color w:val="auto"/>
          <w:sz w:val="28"/>
          <w:szCs w:val="28"/>
          <w:highlight w:val="none"/>
        </w:rPr>
        <w:t>参数</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质量、质保</w:t>
      </w:r>
      <w:r>
        <w:rPr>
          <w:rFonts w:hint="default" w:ascii="Times New Roman" w:hAnsi="Times New Roman" w:eastAsia="仿宋_GB2312" w:cs="Times New Roman"/>
          <w:color w:val="auto"/>
          <w:sz w:val="28"/>
          <w:szCs w:val="28"/>
          <w:highlight w:val="none"/>
        </w:rPr>
        <w:t>和</w:t>
      </w:r>
      <w:r>
        <w:rPr>
          <w:rFonts w:ascii="Times New Roman" w:hAnsi="Times New Roman" w:eastAsia="仿宋_GB2312" w:cs="Times New Roman"/>
          <w:color w:val="auto"/>
          <w:sz w:val="28"/>
          <w:szCs w:val="28"/>
          <w:highlight w:val="none"/>
        </w:rPr>
        <w:t>其他</w:t>
      </w:r>
      <w:r>
        <w:rPr>
          <w:rFonts w:hint="default" w:ascii="Times New Roman" w:hAnsi="Times New Roman" w:eastAsia="仿宋_GB2312" w:cs="Times New Roman"/>
          <w:color w:val="auto"/>
          <w:sz w:val="28"/>
          <w:szCs w:val="28"/>
          <w:highlight w:val="none"/>
        </w:rPr>
        <w:t>响应</w:t>
      </w:r>
      <w:r>
        <w:rPr>
          <w:rFonts w:ascii="Times New Roman" w:hAnsi="Times New Roman" w:eastAsia="仿宋_GB2312" w:cs="Times New Roman"/>
          <w:color w:val="auto"/>
          <w:sz w:val="28"/>
          <w:szCs w:val="28"/>
          <w:highlight w:val="none"/>
        </w:rPr>
        <w:t>参数是否</w:t>
      </w:r>
      <w:r>
        <w:rPr>
          <w:rFonts w:hint="default" w:ascii="Times New Roman" w:hAnsi="Times New Roman" w:eastAsia="仿宋_GB2312" w:cs="Times New Roman"/>
          <w:color w:val="auto"/>
          <w:sz w:val="28"/>
          <w:szCs w:val="28"/>
          <w:highlight w:val="none"/>
        </w:rPr>
        <w:t>符</w:t>
      </w:r>
      <w:r>
        <w:rPr>
          <w:rFonts w:ascii="Times New Roman" w:hAnsi="Times New Roman" w:eastAsia="仿宋_GB2312" w:cs="Times New Roman"/>
          <w:color w:val="auto"/>
          <w:sz w:val="28"/>
          <w:szCs w:val="28"/>
          <w:highlight w:val="none"/>
        </w:rPr>
        <w:t>合比选文件</w:t>
      </w:r>
      <w:r>
        <w:rPr>
          <w:rFonts w:hint="default" w:ascii="Times New Roman" w:hAnsi="Times New Roman" w:eastAsia="仿宋_GB2312" w:cs="Times New Roman"/>
          <w:color w:val="auto"/>
          <w:sz w:val="28"/>
          <w:szCs w:val="28"/>
          <w:highlight w:val="none"/>
        </w:rPr>
        <w:t>所提</w:t>
      </w:r>
      <w:r>
        <w:rPr>
          <w:rFonts w:ascii="Times New Roman" w:hAnsi="Times New Roman" w:eastAsia="仿宋_GB2312" w:cs="Times New Roman"/>
          <w:color w:val="auto"/>
          <w:sz w:val="28"/>
          <w:szCs w:val="28"/>
          <w:highlight w:val="none"/>
        </w:rPr>
        <w:t>出</w:t>
      </w:r>
      <w:r>
        <w:rPr>
          <w:rFonts w:hint="default" w:ascii="Times New Roman" w:hAnsi="Times New Roman" w:eastAsia="仿宋_GB2312" w:cs="Times New Roman"/>
          <w:color w:val="auto"/>
          <w:sz w:val="28"/>
          <w:szCs w:val="28"/>
          <w:highlight w:val="none"/>
        </w:rPr>
        <w:t>的</w:t>
      </w:r>
      <w:r>
        <w:rPr>
          <w:rFonts w:ascii="Times New Roman" w:hAnsi="Times New Roman" w:eastAsia="仿宋_GB2312" w:cs="Times New Roman"/>
          <w:color w:val="auto"/>
          <w:sz w:val="28"/>
          <w:szCs w:val="28"/>
          <w:highlight w:val="none"/>
        </w:rPr>
        <w:t>要求；</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（7）是否符合国家有关法规、文件和标准要求；</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（8）比选申请文件是否附有比选人不能接受的条件。</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4.无论何种原因，在比选时没有启封和宣读的比选申请文件在比选时将不予考虑，比选人对此不承担任何责任。</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5.比选评审组判断比选申请文件的响应性仅基于比选申请文件本身而不能依靠外部证据。</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6.为有助于对比选申请文件进行审查、评估和比较，比选人有权向比选申请人质疑，请比选申请人澄清其比选申请内容。比选申请人须按照比选组织机构通知的时间、地点指派专人进行答疑和澄清。</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 比选实行综合评分法。比选评审组评委根据比选文件规定对各比选申请人的比选申请文件进行评议比较和打分。汇总各评委的评分结果，比选机构按得分高低顺序排出各项目比选名次。</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8.比选评审中，一个计分内容出现2个或2个以上计分，或评分高出单项分值明显不合理，或违反比选文件规定的评分，均为无效计分。 </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9</w:t>
      </w:r>
      <w:r>
        <w:rPr>
          <w:rFonts w:hint="default" w:ascii="Times New Roman" w:hAnsi="Times New Roman" w:eastAsia="仿宋_GB2312" w:cs="Times New Roman"/>
          <w:color w:val="auto"/>
          <w:sz w:val="28"/>
          <w:szCs w:val="28"/>
          <w:highlight w:val="none"/>
        </w:rPr>
        <w:t>.评审委</w:t>
      </w:r>
      <w:r>
        <w:rPr>
          <w:rFonts w:ascii="Times New Roman" w:hAnsi="Times New Roman" w:eastAsia="仿宋_GB2312" w:cs="Times New Roman"/>
          <w:color w:val="auto"/>
          <w:sz w:val="28"/>
          <w:szCs w:val="28"/>
          <w:highlight w:val="none"/>
        </w:rPr>
        <w:t>员</w:t>
      </w:r>
      <w:r>
        <w:rPr>
          <w:rFonts w:hint="default" w:ascii="Times New Roman" w:hAnsi="Times New Roman" w:eastAsia="仿宋_GB2312" w:cs="Times New Roman"/>
          <w:color w:val="auto"/>
          <w:sz w:val="28"/>
          <w:szCs w:val="28"/>
          <w:highlight w:val="none"/>
        </w:rPr>
        <w:t>会成员采用记名评分的方式，在评分表中的任何改写处，均必须由该评分人员小签。</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ascii="Times New Roman" w:hAnsi="Times New Roman" w:eastAsia="仿宋_GB2312" w:cs="Times New Roman"/>
          <w:color w:val="auto"/>
          <w:sz w:val="28"/>
          <w:szCs w:val="28"/>
          <w:highlight w:val="none"/>
        </w:rPr>
        <w:t>0</w:t>
      </w:r>
      <w:r>
        <w:rPr>
          <w:rFonts w:hint="default" w:ascii="Times New Roman" w:hAnsi="Times New Roman" w:eastAsia="仿宋_GB2312" w:cs="Times New Roman"/>
          <w:color w:val="auto"/>
          <w:sz w:val="28"/>
          <w:szCs w:val="28"/>
          <w:highlight w:val="none"/>
        </w:rPr>
        <w:t>.评审委</w:t>
      </w:r>
      <w:r>
        <w:rPr>
          <w:rFonts w:ascii="Times New Roman" w:hAnsi="Times New Roman" w:eastAsia="仿宋_GB2312" w:cs="Times New Roman"/>
          <w:color w:val="auto"/>
          <w:sz w:val="28"/>
          <w:szCs w:val="28"/>
          <w:highlight w:val="none"/>
        </w:rPr>
        <w:t>员</w:t>
      </w:r>
      <w:r>
        <w:rPr>
          <w:rFonts w:hint="default" w:ascii="Times New Roman" w:hAnsi="Times New Roman" w:eastAsia="仿宋_GB2312" w:cs="Times New Roman"/>
          <w:color w:val="auto"/>
          <w:sz w:val="28"/>
          <w:szCs w:val="28"/>
          <w:highlight w:val="none"/>
        </w:rPr>
        <w:t>会通过比选报告推荐标有排序的前3位为中选候选人，同时报告比选过程中的其他事项，比选报告应由比评审委</w:t>
      </w:r>
      <w:r>
        <w:rPr>
          <w:rFonts w:ascii="Times New Roman" w:hAnsi="Times New Roman" w:eastAsia="仿宋_GB2312" w:cs="Times New Roman"/>
          <w:color w:val="auto"/>
          <w:sz w:val="28"/>
          <w:szCs w:val="28"/>
          <w:highlight w:val="none"/>
        </w:rPr>
        <w:t>员</w:t>
      </w:r>
      <w:r>
        <w:rPr>
          <w:rFonts w:hint="default" w:ascii="Times New Roman" w:hAnsi="Times New Roman" w:eastAsia="仿宋_GB2312" w:cs="Times New Roman"/>
          <w:color w:val="auto"/>
          <w:sz w:val="28"/>
          <w:szCs w:val="28"/>
          <w:highlight w:val="none"/>
        </w:rPr>
        <w:t>会全体评委和监督人员签字。</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rPr>
        <w:t>.比选人确定得分排名第1位的为中选人，排名前面的中选人主动放弃中选或因不可抗力提出不能履行合同的，比选人可以确定排名在其后的为中选人，依次类推。</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rPr>
        <w:t>.评比结束，比选人应在十个工作日内向比选申请人发出《中选通知书》。</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rPr>
        <w:t>.经批准，比选人应依据《中选通知书》，与中选人协商项目建设工作相关事宜。中选人因故放弃中选或提出不能履行合同的，比选人应依据比选报告确定该比选项目排名第二的替补为中选候选人，组织协商项目建设工作相关事宜。并依次类推。</w:t>
      </w:r>
    </w:p>
    <w:p>
      <w:pPr>
        <w:spacing w:line="570" w:lineRule="exact"/>
        <w:ind w:firstLine="560" w:firstLineChars="20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（二</w:t>
      </w:r>
      <w:r>
        <w:rPr>
          <w:rFonts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rPr>
        <w:t>评</w:t>
      </w:r>
      <w:r>
        <w:rPr>
          <w:rFonts w:ascii="Times New Roman" w:hAnsi="Times New Roman" w:eastAsia="楷体" w:cs="Times New Roman"/>
          <w:color w:val="auto"/>
          <w:sz w:val="28"/>
          <w:szCs w:val="28"/>
          <w:highlight w:val="none"/>
        </w:rPr>
        <w:t>分标准</w:t>
      </w:r>
    </w:p>
    <w:tbl>
      <w:tblPr>
        <w:tblStyle w:val="1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8"/>
        <w:gridCol w:w="82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序号</w:t>
            </w:r>
          </w:p>
        </w:tc>
        <w:tc>
          <w:tcPr>
            <w:tcW w:w="1448"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评审内容</w:t>
            </w:r>
          </w:p>
        </w:tc>
        <w:tc>
          <w:tcPr>
            <w:tcW w:w="820"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分值</w:t>
            </w:r>
          </w:p>
        </w:tc>
        <w:tc>
          <w:tcPr>
            <w:tcW w:w="6343"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675"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448"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比选报价价格</w:t>
            </w:r>
          </w:p>
        </w:tc>
        <w:tc>
          <w:tcPr>
            <w:tcW w:w="820"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20</w:t>
            </w:r>
          </w:p>
        </w:tc>
        <w:tc>
          <w:tcPr>
            <w:tcW w:w="6343"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满分20分</w:t>
            </w:r>
            <w:r>
              <w:rPr>
                <w:rFonts w:ascii="Times New Roman" w:hAnsi="Times New Roman" w:eastAsia="仿宋_GB2312" w:cs="Times New Roman"/>
                <w:color w:val="auto"/>
                <w:highlight w:val="none"/>
              </w:rPr>
              <w:t xml:space="preserve"> </w:t>
            </w:r>
          </w:p>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平台开发及建设费用报价：</w:t>
            </w:r>
            <w:r>
              <w:rPr>
                <w:rFonts w:hint="default" w:ascii="Times New Roman" w:hAnsi="Times New Roman" w:eastAsia="仿宋" w:cs="Times New Roman"/>
                <w:color w:val="auto"/>
                <w:kern w:val="0"/>
                <w:szCs w:val="21"/>
                <w:highlight w:val="none"/>
              </w:rPr>
              <w:t>满足比选文件要求且比选价格最低的报价为基准价，其价格分为满分。其他供应商的价格分统一按照下列公式计算：报价得分=(基准价／报价)* 20%*100。</w:t>
            </w:r>
            <w:r>
              <w:rPr>
                <w:rFonts w:hint="default" w:ascii="Times New Roman" w:hAnsi="Times New Roman" w:eastAsia="仿宋_GB2312" w:cs="Times New Roman"/>
                <w:color w:val="auto"/>
                <w:highlight w:val="none"/>
              </w:rPr>
              <w:t>如果比选申请人的报价高于最高限价</w:t>
            </w:r>
            <w:r>
              <w:rPr>
                <w:rFonts w:hint="default" w:ascii="Times New Roman" w:hAnsi="Times New Roman" w:eastAsia="仿宋_GB2312" w:cs="Times New Roman"/>
                <w:color w:val="auto"/>
                <w:highlight w:val="none"/>
                <w:u w:val="single"/>
              </w:rPr>
              <w:t xml:space="preserve">     </w:t>
            </w:r>
            <w:r>
              <w:rPr>
                <w:rFonts w:hint="default" w:ascii="Times New Roman" w:hAnsi="Times New Roman" w:eastAsia="仿宋_GB2312" w:cs="Times New Roman"/>
                <w:color w:val="auto"/>
                <w:highlight w:val="none"/>
              </w:rPr>
              <w:t>万元或者明显低于成本价时，该报价为无效报价且该比选申请文件作废。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448"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建设实施方案</w:t>
            </w:r>
          </w:p>
        </w:tc>
        <w:tc>
          <w:tcPr>
            <w:tcW w:w="820" w:type="dxa"/>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rPr>
              <w:t>0</w:t>
            </w:r>
          </w:p>
        </w:tc>
        <w:tc>
          <w:tcPr>
            <w:tcW w:w="6343"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建设实施方案应符合以下要求：（</w:t>
            </w:r>
            <w:r>
              <w:rPr>
                <w:rFonts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rPr>
              <w:t>0分）</w:t>
            </w:r>
          </w:p>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 项目实施思路清晰明确，对重难点问题把握精准</w:t>
            </w:r>
          </w:p>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 项目实施方案的逻辑合理，可操作。</w:t>
            </w:r>
          </w:p>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 项目功能描述全面具体，涵盖本项目整体需求。</w:t>
            </w:r>
          </w:p>
          <w:p>
            <w:pPr>
              <w:rPr>
                <w:rFonts w:ascii="Times New Roman" w:hAnsi="Times New Roman" w:cs="Times New Roman"/>
                <w:color w:val="auto"/>
                <w:highlight w:val="none"/>
              </w:rPr>
            </w:pPr>
            <w:r>
              <w:rPr>
                <w:rFonts w:hint="default" w:ascii="Times New Roman" w:hAnsi="Times New Roman" w:eastAsia="仿宋_GB2312" w:cs="Times New Roman"/>
                <w:color w:val="auto"/>
                <w:highlight w:val="none"/>
              </w:rPr>
              <w:t>4）项目协助运营方案能够对本项目目标、内容及其战略意义有全面、清晰的理解并能提出合理的建议。</w:t>
            </w:r>
          </w:p>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根据上述要求进行综合评审，</w:t>
            </w:r>
            <w:r>
              <w:rPr>
                <w:rFonts w:hint="default" w:ascii="Times New Roman" w:hAnsi="Times New Roman" w:eastAsia="仿宋" w:cs="Times New Roman"/>
                <w:color w:val="auto"/>
                <w:kern w:val="0"/>
                <w:szCs w:val="21"/>
                <w:highlight w:val="none"/>
              </w:rPr>
              <w:t>第一名得</w:t>
            </w:r>
            <w:r>
              <w:rPr>
                <w:rFonts w:ascii="Times New Roman" w:hAnsi="Times New Roman" w:eastAsia="仿宋" w:cs="Times New Roman"/>
                <w:color w:val="auto"/>
                <w:kern w:val="0"/>
                <w:szCs w:val="21"/>
                <w:highlight w:val="none"/>
              </w:rPr>
              <w:t>2</w:t>
            </w:r>
            <w:r>
              <w:rPr>
                <w:rFonts w:hint="default" w:ascii="Times New Roman" w:hAnsi="Times New Roman" w:eastAsia="仿宋" w:cs="Times New Roman"/>
                <w:color w:val="auto"/>
                <w:kern w:val="0"/>
                <w:szCs w:val="21"/>
                <w:highlight w:val="none"/>
              </w:rPr>
              <w:t>0分，第二名得1</w:t>
            </w:r>
            <w:r>
              <w:rPr>
                <w:rFonts w:ascii="Times New Roman" w:hAnsi="Times New Roman" w:eastAsia="仿宋" w:cs="Times New Roman"/>
                <w:color w:val="auto"/>
                <w:kern w:val="0"/>
                <w:szCs w:val="21"/>
                <w:highlight w:val="none"/>
              </w:rPr>
              <w:t>5</w:t>
            </w:r>
            <w:r>
              <w:rPr>
                <w:rFonts w:hint="default" w:ascii="Times New Roman" w:hAnsi="Times New Roman" w:eastAsia="仿宋" w:cs="Times New Roman"/>
                <w:color w:val="auto"/>
                <w:kern w:val="0"/>
                <w:szCs w:val="21"/>
                <w:highlight w:val="none"/>
              </w:rPr>
              <w:t>分，第三名得1</w:t>
            </w:r>
            <w:r>
              <w:rPr>
                <w:rFonts w:ascii="Times New Roman" w:hAnsi="Times New Roman" w:eastAsia="仿宋" w:cs="Times New Roman"/>
                <w:color w:val="auto"/>
                <w:kern w:val="0"/>
                <w:szCs w:val="21"/>
                <w:highlight w:val="none"/>
              </w:rPr>
              <w:t>0</w:t>
            </w:r>
            <w:r>
              <w:rPr>
                <w:rFonts w:hint="default" w:ascii="Times New Roman" w:hAnsi="Times New Roman" w:eastAsia="仿宋" w:cs="Times New Roman"/>
                <w:color w:val="auto"/>
                <w:kern w:val="0"/>
                <w:szCs w:val="21"/>
                <w:highlight w:val="none"/>
              </w:rPr>
              <w:t>分，其他或未提供建设实施方案不得分。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w:t>
            </w:r>
          </w:p>
        </w:tc>
        <w:tc>
          <w:tcPr>
            <w:tcW w:w="1448"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资质评价</w:t>
            </w:r>
          </w:p>
        </w:tc>
        <w:tc>
          <w:tcPr>
            <w:tcW w:w="820"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20</w:t>
            </w:r>
          </w:p>
        </w:tc>
        <w:tc>
          <w:tcPr>
            <w:tcW w:w="6343"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1）比选申请人自有软件系统获得信息系统安全等级保护评级，二级得2分，三级及以上得4分（提供证书复印件，原件备查）。</w:t>
            </w:r>
          </w:p>
          <w:p>
            <w:pPr>
              <w:tabs>
                <w:tab w:val="left" w:pos="312"/>
              </w:tabs>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rPr>
              <w:t>）比选申请人具有支付业务许可证明的，得10分（提供证书复印件，原件备查）。</w:t>
            </w:r>
          </w:p>
          <w:p>
            <w:pPr>
              <w:tabs>
                <w:tab w:val="left" w:pos="312"/>
              </w:tabs>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w:t>
            </w:r>
            <w:r>
              <w:rPr>
                <w:rFonts w:hint="default" w:ascii="Times New Roman" w:hAnsi="Times New Roman" w:eastAsia="仿宋_GB2312" w:cs="Times New Roman"/>
                <w:color w:val="auto"/>
                <w:highlight w:val="none"/>
              </w:rPr>
              <w:t>）比选申请人具备GB/T19001或ISO9001质量体系认证，得3分（提供证书复印件，原件备查）。</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rPr>
              <w:t>）比选申请人具备CMMI认证，二级及以上得</w:t>
            </w:r>
            <w:r>
              <w:rPr>
                <w:rFonts w:ascii="Times New Roman" w:hAnsi="Times New Roman" w:eastAsia="仿宋_GB2312" w:cs="Times New Roman"/>
                <w:color w:val="auto"/>
                <w:highlight w:val="none"/>
              </w:rPr>
              <w:t>3</w:t>
            </w:r>
            <w:r>
              <w:rPr>
                <w:rFonts w:hint="default" w:ascii="Times New Roman" w:hAnsi="Times New Roman" w:eastAsia="仿宋_GB2312" w:cs="Times New Roman"/>
                <w:color w:val="auto"/>
                <w:highlight w:val="none"/>
              </w:rPr>
              <w:t>分（提供证书复印件，原件备查）。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675" w:type="dxa"/>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4</w:t>
            </w:r>
          </w:p>
        </w:tc>
        <w:tc>
          <w:tcPr>
            <w:tcW w:w="1448"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协助运营服务能力评价</w:t>
            </w:r>
          </w:p>
        </w:tc>
        <w:tc>
          <w:tcPr>
            <w:tcW w:w="820"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20</w:t>
            </w:r>
          </w:p>
        </w:tc>
        <w:tc>
          <w:tcPr>
            <w:tcW w:w="6343" w:type="dxa"/>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w:t>
            </w:r>
            <w:r>
              <w:rPr>
                <w:rFonts w:hint="default" w:ascii="Times New Roman" w:hAnsi="Times New Roman" w:eastAsia="仿宋_GB2312" w:cs="Times New Roman"/>
                <w:color w:val="auto"/>
                <w:highlight w:val="none"/>
              </w:rPr>
              <w:t>比选申请人能提供本地化服务，公司注册地在成都市的，得</w:t>
            </w:r>
            <w:r>
              <w:rPr>
                <w:rFonts w:ascii="Times New Roman" w:hAnsi="Times New Roman" w:eastAsia="仿宋_GB2312" w:cs="Times New Roman"/>
                <w:color w:val="auto"/>
                <w:highlight w:val="none"/>
              </w:rPr>
              <w:t>5</w:t>
            </w:r>
            <w:r>
              <w:rPr>
                <w:rFonts w:hint="default" w:ascii="Times New Roman" w:hAnsi="Times New Roman" w:eastAsia="仿宋_GB2312" w:cs="Times New Roman"/>
                <w:color w:val="auto"/>
                <w:highlight w:val="none"/>
              </w:rPr>
              <w:t>分，以分子公司投标且分子公司注册地在成都市的得</w:t>
            </w:r>
            <w:r>
              <w:rPr>
                <w:rFonts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rPr>
              <w:t>分。（提供营业执照副本复印件）。</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rPr>
              <w:t>）比选申请人自有福利平台，具备综合福利解决方案的服务能力，能够提供灵活多变的多种福利发放方式，每提供1种得2分，最高得10分（对发放方式进行描述和提供相关服务功能截图）。</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w:t>
            </w:r>
            <w:r>
              <w:rPr>
                <w:rFonts w:hint="default" w:ascii="Times New Roman" w:hAnsi="Times New Roman" w:eastAsia="仿宋_GB2312" w:cs="Times New Roman"/>
                <w:color w:val="auto"/>
                <w:highlight w:val="none"/>
              </w:rPr>
              <w:t>比选申请人具备四川本地线下福利产品扫码提货或福利服务兑换应用场景，应用场景涵盖多个行业，每涵盖1个行业得0.5分，最高得5分（提供行业及行业合作商户清单）。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675" w:type="dxa"/>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5</w:t>
            </w:r>
          </w:p>
        </w:tc>
        <w:tc>
          <w:tcPr>
            <w:tcW w:w="1448"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业绩</w:t>
            </w:r>
          </w:p>
        </w:tc>
        <w:tc>
          <w:tcPr>
            <w:tcW w:w="820" w:type="dxa"/>
            <w:vAlign w:val="center"/>
          </w:tcPr>
          <w:p>
            <w:p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20</w:t>
            </w:r>
          </w:p>
        </w:tc>
        <w:tc>
          <w:tcPr>
            <w:tcW w:w="6343" w:type="dxa"/>
            <w:vAlign w:val="center"/>
          </w:tcPr>
          <w:p>
            <w:pPr>
              <w:numPr>
                <w:ilvl w:val="255"/>
                <w:numId w:val="0"/>
              </w:numPr>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比选申请人具有为大型国企提供福利类运营服务的经验和能力，具有与本项目类似的运营案例，每1个得10分，2个及以上得20分（提供合同或相关证明材料）。</w:t>
            </w:r>
          </w:p>
        </w:tc>
      </w:tr>
    </w:tbl>
    <w:p>
      <w:pPr>
        <w:widowControl/>
        <w:jc w:val="left"/>
        <w:rPr>
          <w:rFonts w:ascii="Times New Roman" w:hAnsi="Times New Roman" w:eastAsia="黑体" w:cs="Times New Roman"/>
          <w:color w:val="auto"/>
          <w:sz w:val="32"/>
          <w:szCs w:val="32"/>
          <w:highlight w:val="none"/>
        </w:rPr>
      </w:pPr>
    </w:p>
    <w:p>
      <w:pPr>
        <w:widowControl/>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widowControl/>
        <w:jc w:val="left"/>
        <w:rPr>
          <w:rFonts w:ascii="Times New Roman" w:hAnsi="Times New Roman" w:eastAsia="黑体" w:cs="Times New Roman"/>
          <w:color w:val="auto"/>
          <w:sz w:val="32"/>
          <w:szCs w:val="32"/>
          <w:highlight w:val="none"/>
        </w:rPr>
      </w:pP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color w:val="auto"/>
          <w:kern w:val="44"/>
          <w:sz w:val="44"/>
          <w:szCs w:val="44"/>
          <w:highlight w:val="none"/>
          <w:lang w:val="zh-CN"/>
        </w:rPr>
      </w:pPr>
      <w:bookmarkStart w:id="34" w:name="_Toc14"/>
      <w:bookmarkStart w:id="35" w:name="_Toc38447191"/>
      <w:bookmarkStart w:id="36" w:name="_Toc9163"/>
      <w:r>
        <w:rPr>
          <w:rFonts w:hint="default" w:ascii="Times New Roman" w:hAnsi="Times New Roman" w:eastAsia="方正小标宋简体" w:cs="Times New Roman"/>
          <w:b/>
          <w:bCs/>
          <w:color w:val="auto"/>
          <w:kern w:val="44"/>
          <w:sz w:val="44"/>
          <w:szCs w:val="44"/>
          <w:highlight w:val="none"/>
          <w:lang w:val="zh-CN"/>
        </w:rPr>
        <w:t>比选程序</w:t>
      </w:r>
      <w:bookmarkEnd w:id="34"/>
      <w:bookmarkEnd w:id="35"/>
      <w:bookmarkEnd w:id="36"/>
    </w:p>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一、比选程序</w:t>
      </w:r>
    </w:p>
    <w:p>
      <w:pPr>
        <w:spacing w:line="570" w:lineRule="exact"/>
        <w:ind w:firstLine="700" w:firstLineChars="250"/>
        <w:contextualSpacing/>
        <w:rPr>
          <w:rFonts w:ascii="Times New Roman" w:hAnsi="Times New Roman" w:eastAsia="仿宋_GB2312" w:cs="Times New Roman"/>
          <w:color w:val="auto"/>
          <w:sz w:val="28"/>
          <w:szCs w:val="28"/>
          <w:highlight w:val="none"/>
        </w:rPr>
      </w:pPr>
      <w:r>
        <w:rPr>
          <w:rFonts w:hint="default" w:ascii="Times New Roman" w:hAnsi="Times New Roman" w:eastAsia="楷体" w:cs="Times New Roman"/>
          <w:color w:val="auto"/>
          <w:sz w:val="28"/>
          <w:szCs w:val="28"/>
          <w:highlight w:val="none"/>
        </w:rPr>
        <w:t>（</w:t>
      </w:r>
      <w:r>
        <w:rPr>
          <w:rFonts w:ascii="Times New Roman" w:hAnsi="Times New Roman" w:eastAsia="楷体" w:cs="Times New Roman"/>
          <w:color w:val="auto"/>
          <w:sz w:val="28"/>
          <w:szCs w:val="28"/>
          <w:highlight w:val="none"/>
        </w:rPr>
        <w:t>一）</w:t>
      </w:r>
      <w:r>
        <w:rPr>
          <w:rFonts w:hint="default" w:ascii="Times New Roman" w:hAnsi="Times New Roman" w:eastAsia="楷体" w:cs="Times New Roman"/>
          <w:color w:val="auto"/>
          <w:sz w:val="28"/>
          <w:szCs w:val="28"/>
          <w:highlight w:val="none"/>
        </w:rPr>
        <w:t>比选环节主要包括</w:t>
      </w:r>
      <w:r>
        <w:rPr>
          <w:rFonts w:hint="default" w:ascii="Times New Roman" w:hAnsi="Times New Roman" w:eastAsia="仿宋_GB2312" w:cs="Times New Roman"/>
          <w:color w:val="auto"/>
          <w:sz w:val="28"/>
          <w:szCs w:val="28"/>
          <w:highlight w:val="none"/>
        </w:rPr>
        <w:t>：发布比选公告、接受咨询和提交比选申请文件、组织评比、确定中选机构、发出中选通知。</w:t>
      </w:r>
    </w:p>
    <w:p>
      <w:pPr>
        <w:spacing w:line="570" w:lineRule="exact"/>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z w:val="28"/>
          <w:szCs w:val="28"/>
          <w:highlight w:val="none"/>
        </w:rPr>
        <w:t>（</w:t>
      </w:r>
      <w:r>
        <w:rPr>
          <w:rFonts w:ascii="Times New Roman" w:hAnsi="Times New Roman" w:eastAsia="楷体" w:cs="Times New Roman"/>
          <w:color w:val="auto"/>
          <w:sz w:val="28"/>
          <w:szCs w:val="28"/>
          <w:highlight w:val="none"/>
        </w:rPr>
        <w:t>二）</w:t>
      </w:r>
      <w:r>
        <w:rPr>
          <w:rFonts w:hint="default" w:ascii="Times New Roman" w:hAnsi="Times New Roman" w:eastAsia="楷体" w:cs="Times New Roman"/>
          <w:color w:val="auto"/>
          <w:sz w:val="28"/>
          <w:szCs w:val="28"/>
          <w:highlight w:val="none"/>
        </w:rPr>
        <w:t>比选</w:t>
      </w:r>
      <w:r>
        <w:rPr>
          <w:rFonts w:ascii="Times New Roman" w:hAnsi="Times New Roman" w:eastAsia="楷体" w:cs="Times New Roman"/>
          <w:color w:val="auto"/>
          <w:sz w:val="28"/>
          <w:szCs w:val="28"/>
          <w:highlight w:val="none"/>
        </w:rPr>
        <w:t>会议流程</w:t>
      </w:r>
      <w:r>
        <w:rPr>
          <w:rFonts w:hint="default" w:ascii="Times New Roman" w:hAnsi="Times New Roman" w:eastAsia="楷体" w:cs="Times New Roman"/>
          <w:color w:val="auto"/>
          <w:sz w:val="28"/>
          <w:szCs w:val="28"/>
          <w:highlight w:val="none"/>
        </w:rPr>
        <w:t>：</w:t>
      </w:r>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1.宣布</w:t>
      </w:r>
      <w:r>
        <w:rPr>
          <w:rFonts w:ascii="Times New Roman" w:hAnsi="Times New Roman" w:eastAsia="仿宋_GB2312" w:cs="Times New Roman"/>
          <w:color w:val="auto"/>
          <w:sz w:val="28"/>
          <w:szCs w:val="28"/>
          <w:highlight w:val="none"/>
        </w:rPr>
        <w:t>比选会议开始；</w:t>
      </w:r>
    </w:p>
    <w:p>
      <w:pPr>
        <w:spacing w:line="570" w:lineRule="exact"/>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xml:space="preserve">    2.</w:t>
      </w:r>
      <w:r>
        <w:rPr>
          <w:rFonts w:hint="default" w:ascii="Times New Roman" w:hAnsi="Times New Roman" w:eastAsia="仿宋_GB2312" w:cs="Times New Roman"/>
          <w:color w:val="auto"/>
          <w:sz w:val="28"/>
          <w:szCs w:val="28"/>
          <w:highlight w:val="none"/>
        </w:rPr>
        <w:t>宣</w:t>
      </w:r>
      <w:r>
        <w:rPr>
          <w:rFonts w:ascii="Times New Roman" w:hAnsi="Times New Roman" w:eastAsia="仿宋_GB2312" w:cs="Times New Roman"/>
          <w:color w:val="auto"/>
          <w:sz w:val="28"/>
          <w:szCs w:val="28"/>
          <w:highlight w:val="none"/>
        </w:rPr>
        <w:t>布会场纪律；</w:t>
      </w:r>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3.主</w:t>
      </w:r>
      <w:r>
        <w:rPr>
          <w:rFonts w:ascii="Times New Roman" w:hAnsi="Times New Roman" w:eastAsia="仿宋_GB2312" w:cs="Times New Roman"/>
          <w:color w:val="auto"/>
          <w:sz w:val="28"/>
          <w:szCs w:val="28"/>
          <w:highlight w:val="none"/>
        </w:rPr>
        <w:t>持人介绍到会的</w:t>
      </w:r>
      <w:r>
        <w:rPr>
          <w:rFonts w:hint="default" w:ascii="Times New Roman" w:hAnsi="Times New Roman" w:eastAsia="仿宋_GB2312" w:cs="Times New Roman"/>
          <w:color w:val="auto"/>
          <w:sz w:val="28"/>
          <w:szCs w:val="28"/>
          <w:highlight w:val="none"/>
        </w:rPr>
        <w:t>单位和</w:t>
      </w:r>
      <w:r>
        <w:rPr>
          <w:rFonts w:ascii="Times New Roman" w:hAnsi="Times New Roman" w:eastAsia="仿宋_GB2312" w:cs="Times New Roman"/>
          <w:color w:val="auto"/>
          <w:sz w:val="28"/>
          <w:szCs w:val="28"/>
          <w:highlight w:val="none"/>
        </w:rPr>
        <w:t>有关人员，并宣</w:t>
      </w:r>
      <w:r>
        <w:rPr>
          <w:rFonts w:hint="default" w:ascii="Times New Roman" w:hAnsi="Times New Roman" w:eastAsia="仿宋_GB2312" w:cs="Times New Roman"/>
          <w:color w:val="auto"/>
          <w:sz w:val="28"/>
          <w:szCs w:val="28"/>
          <w:highlight w:val="none"/>
        </w:rPr>
        <w:t>布</w:t>
      </w:r>
      <w:r>
        <w:rPr>
          <w:rFonts w:ascii="Times New Roman" w:hAnsi="Times New Roman" w:eastAsia="仿宋_GB2312" w:cs="Times New Roman"/>
          <w:color w:val="auto"/>
          <w:sz w:val="28"/>
          <w:szCs w:val="28"/>
          <w:highlight w:val="none"/>
        </w:rPr>
        <w:t>会议主持人、记录人、监督人名单；</w:t>
      </w:r>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4.由</w:t>
      </w:r>
      <w:r>
        <w:rPr>
          <w:rFonts w:ascii="Times New Roman" w:hAnsi="Times New Roman" w:eastAsia="仿宋_GB2312" w:cs="Times New Roman"/>
          <w:color w:val="auto"/>
          <w:sz w:val="28"/>
          <w:szCs w:val="28"/>
          <w:highlight w:val="none"/>
        </w:rPr>
        <w:t>比选人、监督单位及各比选申请人共同对比选申请文件的密封性进行审查；</w:t>
      </w:r>
    </w:p>
    <w:p>
      <w:pPr>
        <w:spacing w:line="570" w:lineRule="exact"/>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xml:space="preserve">    5.</w:t>
      </w:r>
      <w:r>
        <w:rPr>
          <w:rFonts w:hint="default" w:ascii="Times New Roman" w:hAnsi="Times New Roman" w:eastAsia="仿宋_GB2312" w:cs="Times New Roman"/>
          <w:color w:val="auto"/>
          <w:sz w:val="28"/>
          <w:szCs w:val="28"/>
          <w:highlight w:val="none"/>
        </w:rPr>
        <w:t>经</w:t>
      </w:r>
      <w:r>
        <w:rPr>
          <w:rFonts w:ascii="Times New Roman" w:hAnsi="Times New Roman" w:eastAsia="仿宋_GB2312" w:cs="Times New Roman"/>
          <w:color w:val="auto"/>
          <w:sz w:val="28"/>
          <w:szCs w:val="28"/>
          <w:highlight w:val="none"/>
        </w:rPr>
        <w:t>查验</w:t>
      </w:r>
      <w:r>
        <w:rPr>
          <w:rFonts w:hint="default" w:ascii="Times New Roman" w:hAnsi="Times New Roman" w:eastAsia="仿宋_GB2312" w:cs="Times New Roman"/>
          <w:color w:val="auto"/>
          <w:sz w:val="28"/>
          <w:szCs w:val="28"/>
          <w:highlight w:val="none"/>
        </w:rPr>
        <w:t>无误后当众启封比选</w:t>
      </w:r>
      <w:r>
        <w:rPr>
          <w:rFonts w:ascii="Times New Roman" w:hAnsi="Times New Roman" w:eastAsia="仿宋_GB2312" w:cs="Times New Roman"/>
          <w:color w:val="auto"/>
          <w:sz w:val="28"/>
          <w:szCs w:val="28"/>
          <w:highlight w:val="none"/>
        </w:rPr>
        <w:t>申请</w:t>
      </w:r>
      <w:r>
        <w:rPr>
          <w:rFonts w:hint="default" w:ascii="Times New Roman" w:hAnsi="Times New Roman" w:eastAsia="仿宋_GB2312" w:cs="Times New Roman"/>
          <w:color w:val="auto"/>
          <w:sz w:val="28"/>
          <w:szCs w:val="28"/>
          <w:highlight w:val="none"/>
        </w:rPr>
        <w:t>文件；由比选</w:t>
      </w:r>
      <w:r>
        <w:rPr>
          <w:rFonts w:ascii="Times New Roman" w:hAnsi="Times New Roman" w:eastAsia="仿宋_GB2312" w:cs="Times New Roman"/>
          <w:color w:val="auto"/>
          <w:sz w:val="28"/>
          <w:szCs w:val="28"/>
          <w:highlight w:val="none"/>
        </w:rPr>
        <w:t>人</w:t>
      </w:r>
      <w:r>
        <w:rPr>
          <w:rFonts w:hint="default" w:ascii="Times New Roman" w:hAnsi="Times New Roman" w:eastAsia="仿宋_GB2312" w:cs="Times New Roman"/>
          <w:color w:val="auto"/>
          <w:sz w:val="28"/>
          <w:szCs w:val="28"/>
          <w:highlight w:val="none"/>
        </w:rPr>
        <w:t>按其递交比选</w:t>
      </w:r>
      <w:r>
        <w:rPr>
          <w:rFonts w:ascii="Times New Roman" w:hAnsi="Times New Roman" w:eastAsia="仿宋_GB2312" w:cs="Times New Roman"/>
          <w:color w:val="auto"/>
          <w:sz w:val="28"/>
          <w:szCs w:val="28"/>
          <w:highlight w:val="none"/>
        </w:rPr>
        <w:t>申请书</w:t>
      </w:r>
      <w:r>
        <w:rPr>
          <w:rFonts w:hint="default" w:ascii="Times New Roman" w:hAnsi="Times New Roman" w:eastAsia="仿宋_GB2312" w:cs="Times New Roman"/>
          <w:color w:val="auto"/>
          <w:sz w:val="28"/>
          <w:szCs w:val="28"/>
          <w:highlight w:val="none"/>
        </w:rPr>
        <w:t>签到的正顺序进行启标、唱标。</w:t>
      </w:r>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rPr>
        <w:t>比</w:t>
      </w:r>
      <w:r>
        <w:rPr>
          <w:rFonts w:ascii="Times New Roman" w:hAnsi="Times New Roman" w:eastAsia="仿宋_GB2312" w:cs="Times New Roman"/>
          <w:color w:val="auto"/>
          <w:sz w:val="28"/>
          <w:szCs w:val="28"/>
          <w:highlight w:val="none"/>
        </w:rPr>
        <w:t>选会议结束，进入评</w:t>
      </w:r>
      <w:r>
        <w:rPr>
          <w:rFonts w:hint="default" w:ascii="Times New Roman" w:hAnsi="Times New Roman" w:eastAsia="仿宋_GB2312" w:cs="Times New Roman"/>
          <w:color w:val="auto"/>
          <w:sz w:val="28"/>
          <w:szCs w:val="28"/>
          <w:highlight w:val="none"/>
        </w:rPr>
        <w:t>审</w:t>
      </w:r>
      <w:r>
        <w:rPr>
          <w:rFonts w:ascii="Times New Roman" w:hAnsi="Times New Roman" w:eastAsia="仿宋_GB2312" w:cs="Times New Roman"/>
          <w:color w:val="auto"/>
          <w:sz w:val="28"/>
          <w:szCs w:val="28"/>
          <w:highlight w:val="none"/>
        </w:rPr>
        <w:t>阶段。比选申请人</w:t>
      </w:r>
      <w:r>
        <w:rPr>
          <w:rFonts w:hint="default" w:ascii="Times New Roman" w:hAnsi="Times New Roman" w:eastAsia="仿宋_GB2312" w:cs="Times New Roman"/>
          <w:color w:val="auto"/>
          <w:sz w:val="28"/>
          <w:szCs w:val="28"/>
          <w:highlight w:val="none"/>
        </w:rPr>
        <w:t>根</w:t>
      </w:r>
      <w:r>
        <w:rPr>
          <w:rFonts w:ascii="Times New Roman" w:hAnsi="Times New Roman" w:eastAsia="仿宋_GB2312" w:cs="Times New Roman"/>
          <w:color w:val="auto"/>
          <w:sz w:val="28"/>
          <w:szCs w:val="28"/>
          <w:highlight w:val="none"/>
        </w:rPr>
        <w:t>据</w:t>
      </w:r>
      <w:r>
        <w:rPr>
          <w:rFonts w:hint="default" w:ascii="Times New Roman" w:hAnsi="Times New Roman" w:eastAsia="仿宋_GB2312" w:cs="Times New Roman"/>
          <w:color w:val="auto"/>
          <w:sz w:val="28"/>
          <w:szCs w:val="28"/>
          <w:highlight w:val="none"/>
        </w:rPr>
        <w:t>唱</w:t>
      </w:r>
      <w:r>
        <w:rPr>
          <w:rFonts w:ascii="Times New Roman" w:hAnsi="Times New Roman" w:eastAsia="仿宋_GB2312" w:cs="Times New Roman"/>
          <w:color w:val="auto"/>
          <w:sz w:val="28"/>
          <w:szCs w:val="28"/>
          <w:highlight w:val="none"/>
        </w:rPr>
        <w:t>标顺序</w:t>
      </w:r>
      <w:r>
        <w:rPr>
          <w:rFonts w:hint="default" w:ascii="Times New Roman" w:hAnsi="Times New Roman" w:eastAsia="仿宋_GB2312" w:cs="Times New Roman"/>
          <w:color w:val="auto"/>
          <w:sz w:val="28"/>
          <w:szCs w:val="28"/>
          <w:highlight w:val="none"/>
        </w:rPr>
        <w:t>，按</w:t>
      </w:r>
      <w:r>
        <w:rPr>
          <w:rFonts w:ascii="Times New Roman" w:hAnsi="Times New Roman" w:eastAsia="仿宋_GB2312" w:cs="Times New Roman"/>
          <w:color w:val="auto"/>
          <w:sz w:val="28"/>
          <w:szCs w:val="28"/>
          <w:highlight w:val="none"/>
        </w:rPr>
        <w:t>照比选人统一安排</w:t>
      </w:r>
      <w:r>
        <w:rPr>
          <w:rFonts w:hint="default" w:ascii="Times New Roman" w:hAnsi="Times New Roman" w:eastAsia="仿宋_GB2312" w:cs="Times New Roman"/>
          <w:color w:val="auto"/>
          <w:sz w:val="28"/>
          <w:szCs w:val="28"/>
          <w:highlight w:val="none"/>
        </w:rPr>
        <w:t>依</w:t>
      </w:r>
      <w:r>
        <w:rPr>
          <w:rFonts w:ascii="Times New Roman" w:hAnsi="Times New Roman" w:eastAsia="仿宋_GB2312" w:cs="Times New Roman"/>
          <w:color w:val="auto"/>
          <w:sz w:val="28"/>
          <w:szCs w:val="28"/>
          <w:highlight w:val="none"/>
        </w:rPr>
        <w:t>次</w:t>
      </w:r>
      <w:r>
        <w:rPr>
          <w:rFonts w:hint="default" w:ascii="Times New Roman" w:hAnsi="Times New Roman" w:eastAsia="仿宋_GB2312" w:cs="Times New Roman"/>
          <w:color w:val="auto"/>
          <w:sz w:val="28"/>
          <w:szCs w:val="28"/>
          <w:highlight w:val="none"/>
        </w:rPr>
        <w:t>进行15分</w:t>
      </w:r>
      <w:r>
        <w:rPr>
          <w:rFonts w:ascii="Times New Roman" w:hAnsi="Times New Roman" w:eastAsia="仿宋_GB2312" w:cs="Times New Roman"/>
          <w:color w:val="auto"/>
          <w:sz w:val="28"/>
          <w:szCs w:val="28"/>
          <w:highlight w:val="none"/>
        </w:rPr>
        <w:t>钟的</w:t>
      </w:r>
      <w:r>
        <w:rPr>
          <w:rFonts w:hint="default" w:ascii="Times New Roman" w:hAnsi="Times New Roman" w:eastAsia="仿宋_GB2312" w:cs="Times New Roman"/>
          <w:color w:val="auto"/>
          <w:sz w:val="28"/>
          <w:szCs w:val="28"/>
          <w:highlight w:val="none"/>
        </w:rPr>
        <w:t>实施方案</w:t>
      </w:r>
      <w:r>
        <w:rPr>
          <w:rFonts w:ascii="Times New Roman" w:hAnsi="Times New Roman" w:eastAsia="仿宋_GB2312" w:cs="Times New Roman"/>
          <w:color w:val="auto"/>
          <w:sz w:val="28"/>
          <w:szCs w:val="28"/>
          <w:highlight w:val="none"/>
        </w:rPr>
        <w:t>讲标</w:t>
      </w: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答疑</w:t>
      </w:r>
      <w:r>
        <w:rPr>
          <w:rFonts w:hint="default" w:ascii="Times New Roman" w:hAnsi="Times New Roman" w:eastAsia="仿宋_GB2312" w:cs="Times New Roman"/>
          <w:color w:val="auto"/>
          <w:sz w:val="28"/>
          <w:szCs w:val="28"/>
          <w:highlight w:val="none"/>
        </w:rPr>
        <w:t>。</w:t>
      </w:r>
    </w:p>
    <w:p>
      <w:pPr>
        <w:spacing w:line="570" w:lineRule="exact"/>
        <w:ind w:firstLine="560" w:firstLineChars="200"/>
        <w:contextualSpacing/>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w:t>
      </w:r>
      <w:r>
        <w:rPr>
          <w:rFonts w:ascii="Times New Roman" w:hAnsi="Times New Roman" w:eastAsia="楷体" w:cs="Times New Roman"/>
          <w:color w:val="auto"/>
          <w:sz w:val="28"/>
          <w:szCs w:val="28"/>
          <w:highlight w:val="none"/>
        </w:rPr>
        <w:t>三</w:t>
      </w:r>
      <w:r>
        <w:rPr>
          <w:rFonts w:hint="default" w:ascii="Times New Roman" w:hAnsi="Times New Roman" w:eastAsia="楷体" w:cs="Times New Roman"/>
          <w:color w:val="auto"/>
          <w:sz w:val="28"/>
          <w:szCs w:val="28"/>
          <w:highlight w:val="none"/>
        </w:rPr>
        <w:t>）</w:t>
      </w:r>
      <w:r>
        <w:rPr>
          <w:rFonts w:ascii="Times New Roman" w:hAnsi="Times New Roman" w:eastAsia="楷体" w:cs="Times New Roman"/>
          <w:color w:val="auto"/>
          <w:sz w:val="28"/>
          <w:szCs w:val="28"/>
          <w:highlight w:val="none"/>
        </w:rPr>
        <w:t>评审委员会</w:t>
      </w:r>
    </w:p>
    <w:bookmarkEnd w:id="4"/>
    <w:bookmarkEnd w:id="5"/>
    <w:p>
      <w:pPr>
        <w:spacing w:line="620" w:lineRule="exact"/>
        <w:ind w:firstLine="630" w:firstLineChars="225"/>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1.比选人自行组建评审委员会。评审委员会对比选</w:t>
      </w:r>
      <w:r>
        <w:rPr>
          <w:rFonts w:ascii="Times New Roman" w:hAnsi="Times New Roman" w:eastAsia="仿宋_GB2312" w:cs="Times New Roman"/>
          <w:color w:val="auto"/>
          <w:sz w:val="28"/>
          <w:szCs w:val="28"/>
          <w:highlight w:val="none"/>
        </w:rPr>
        <w:t>申请</w:t>
      </w:r>
      <w:r>
        <w:rPr>
          <w:rFonts w:hint="default" w:ascii="Times New Roman" w:hAnsi="Times New Roman" w:eastAsia="仿宋_GB2312" w:cs="Times New Roman"/>
          <w:color w:val="auto"/>
          <w:sz w:val="28"/>
          <w:szCs w:val="28"/>
          <w:highlight w:val="none"/>
        </w:rPr>
        <w:t>文件进行审查、质疑、评估和比较。</w:t>
      </w:r>
    </w:p>
    <w:p>
      <w:pPr>
        <w:spacing w:line="620" w:lineRule="exact"/>
        <w:ind w:firstLine="630" w:firstLineChars="225"/>
        <w:jc w:val="lef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rPr>
        <w:t>评审委员会成员名单，在中选结果确定前是保密的，评审在有关部门监督和保密的状态下进行。</w:t>
      </w:r>
    </w:p>
    <w:p>
      <w:pPr>
        <w:spacing w:line="620" w:lineRule="exact"/>
        <w:ind w:firstLine="630" w:firstLineChars="225"/>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 xml:space="preserve"> 评审委员会成员应当客观公正履行职务，遵守职业道德，对所提出的评审意见承担个人责任。评审委员会成员不得私下接触比选申请人，不得接受比选申请人的财物或其他好处。</w:t>
      </w:r>
    </w:p>
    <w:p>
      <w:pPr>
        <w:spacing w:line="620" w:lineRule="exact"/>
        <w:ind w:firstLine="630" w:firstLineChars="225"/>
        <w:jc w:val="lef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rPr>
        <w:t>评审期间，评审委员会成员根据需要对某些比选</w:t>
      </w:r>
      <w:r>
        <w:rPr>
          <w:rFonts w:ascii="Times New Roman" w:hAnsi="Times New Roman" w:eastAsia="仿宋_GB2312" w:cs="Times New Roman"/>
          <w:color w:val="auto"/>
          <w:sz w:val="28"/>
          <w:szCs w:val="28"/>
          <w:highlight w:val="none"/>
        </w:rPr>
        <w:t>申请书内容</w:t>
      </w:r>
      <w:r>
        <w:rPr>
          <w:rFonts w:hint="default" w:ascii="Times New Roman" w:hAnsi="Times New Roman" w:eastAsia="仿宋_GB2312" w:cs="Times New Roman"/>
          <w:color w:val="auto"/>
          <w:sz w:val="28"/>
          <w:szCs w:val="28"/>
          <w:highlight w:val="none"/>
        </w:rPr>
        <w:t>进行质询，比选申请人须等候。</w:t>
      </w:r>
    </w:p>
    <w:p>
      <w:pPr>
        <w:widowControl/>
        <w:jc w:val="left"/>
        <w:rPr>
          <w:rFonts w:ascii="Times New Roman" w:hAnsi="Times New Roman" w:eastAsia="黑体" w:cs="Times New Roman"/>
          <w:color w:val="auto"/>
          <w:sz w:val="32"/>
          <w:szCs w:val="32"/>
          <w:highlight w:val="none"/>
        </w:rPr>
      </w:pPr>
      <w:bookmarkStart w:id="37" w:name="_Toc520275151"/>
      <w:r>
        <w:rPr>
          <w:rFonts w:ascii="Times New Roman" w:hAnsi="Times New Roman" w:eastAsia="黑体" w:cs="Times New Roman"/>
          <w:color w:val="auto"/>
          <w:sz w:val="32"/>
          <w:szCs w:val="32"/>
          <w:highlight w:val="none"/>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color w:val="auto"/>
          <w:kern w:val="44"/>
          <w:sz w:val="44"/>
          <w:szCs w:val="44"/>
          <w:highlight w:val="none"/>
          <w:lang w:val="zh-CN"/>
        </w:rPr>
      </w:pPr>
      <w:bookmarkStart w:id="38" w:name="_Toc11887"/>
      <w:bookmarkStart w:id="39" w:name="_Toc38447192"/>
      <w:bookmarkStart w:id="40" w:name="_Toc29213"/>
      <w:r>
        <w:rPr>
          <w:rFonts w:hint="default" w:ascii="Times New Roman" w:hAnsi="Times New Roman" w:eastAsia="方正小标宋简体" w:cs="Times New Roman"/>
          <w:b/>
          <w:bCs/>
          <w:color w:val="auto"/>
          <w:kern w:val="44"/>
          <w:sz w:val="44"/>
          <w:szCs w:val="44"/>
          <w:highlight w:val="none"/>
          <w:lang w:val="zh-CN"/>
        </w:rPr>
        <w:t>主要合同条款</w:t>
      </w:r>
      <w:bookmarkEnd w:id="38"/>
      <w:bookmarkEnd w:id="39"/>
      <w:bookmarkEnd w:id="40"/>
    </w:p>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一、主要合同条款</w:t>
      </w:r>
      <w:bookmarkEnd w:id="37"/>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注：本合同条款甲乙双方可根据实际情况进行补充，但不得做实质性修改。</w:t>
      </w:r>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甲方：四川交投物流有限公司</w:t>
      </w:r>
    </w:p>
    <w:p>
      <w:pPr>
        <w:spacing w:line="570" w:lineRule="exact"/>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根据《中华人民共和国民法典》、四川交投物流有限公司“</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软件建设项目比选文件、乙方的比选申请文件以及中选通知书，甲、乙双方本着平等协商、公平公正的原则签订本合同。详细技术说明及其他有关合同项目的特定信息由合同附件予以说明，合同附件及本项目的比选文件、比选申请文件、《中选通知书》等均为本合同不可分割的部分。双方同意共同遵守如下条款：</w:t>
      </w:r>
    </w:p>
    <w:tbl>
      <w:tblPr>
        <w:tblStyle w:val="17"/>
        <w:tblpPr w:leftFromText="180" w:rightFromText="180" w:vertAnchor="text" w:horzAnchor="margin" w:tblpXSpec="center" w:tblpY="1035"/>
        <w:tblW w:w="6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62"/>
        <w:gridCol w:w="1207"/>
        <w:gridCol w:w="1203"/>
        <w:gridCol w:w="129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spacing w:line="570" w:lineRule="exact"/>
              <w:contextualSpacing/>
              <w:rPr>
                <w:rFonts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序号</w:t>
            </w:r>
          </w:p>
        </w:tc>
        <w:tc>
          <w:tcPr>
            <w:tcW w:w="962" w:type="dxa"/>
            <w:vAlign w:val="center"/>
          </w:tcPr>
          <w:p>
            <w:pPr>
              <w:spacing w:line="570" w:lineRule="exact"/>
              <w:contextualSpacing/>
              <w:rPr>
                <w:rFonts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类型</w:t>
            </w:r>
          </w:p>
        </w:tc>
        <w:tc>
          <w:tcPr>
            <w:tcW w:w="1207" w:type="dxa"/>
            <w:vAlign w:val="center"/>
          </w:tcPr>
          <w:p>
            <w:pPr>
              <w:spacing w:line="570" w:lineRule="exact"/>
              <w:contextualSpacing/>
              <w:rPr>
                <w:rFonts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模块</w:t>
            </w:r>
          </w:p>
        </w:tc>
        <w:tc>
          <w:tcPr>
            <w:tcW w:w="1203" w:type="dxa"/>
            <w:vAlign w:val="center"/>
          </w:tcPr>
          <w:p>
            <w:pPr>
              <w:spacing w:line="570" w:lineRule="exact"/>
              <w:contextualSpacing/>
              <w:rPr>
                <w:rFonts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功能</w:t>
            </w:r>
          </w:p>
        </w:tc>
        <w:tc>
          <w:tcPr>
            <w:tcW w:w="1298" w:type="dxa"/>
            <w:vAlign w:val="center"/>
          </w:tcPr>
          <w:p>
            <w:pPr>
              <w:spacing w:line="570" w:lineRule="exact"/>
              <w:contextualSpacing/>
              <w:rPr>
                <w:rFonts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报价</w:t>
            </w:r>
          </w:p>
        </w:tc>
        <w:tc>
          <w:tcPr>
            <w:tcW w:w="1276" w:type="dxa"/>
            <w:vAlign w:val="center"/>
          </w:tcPr>
          <w:p>
            <w:pPr>
              <w:spacing w:line="570" w:lineRule="exact"/>
              <w:contextualSpacing/>
              <w:rPr>
                <w:rFonts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spacing w:line="570" w:lineRule="exact"/>
              <w:contextualSpacing/>
              <w:rPr>
                <w:rFonts w:ascii="Times New Roman" w:hAnsi="Times New Roman" w:eastAsia="仿宋_GB2312" w:cs="Times New Roman"/>
                <w:color w:val="auto"/>
                <w:sz w:val="24"/>
                <w:highlight w:val="none"/>
              </w:rPr>
            </w:pPr>
          </w:p>
        </w:tc>
        <w:tc>
          <w:tcPr>
            <w:tcW w:w="962" w:type="dxa"/>
            <w:vAlign w:val="center"/>
          </w:tcPr>
          <w:p>
            <w:pPr>
              <w:spacing w:line="570" w:lineRule="exact"/>
              <w:contextualSpacing/>
              <w:rPr>
                <w:rFonts w:ascii="Times New Roman" w:hAnsi="Times New Roman" w:eastAsia="仿宋_GB2312" w:cs="Times New Roman"/>
                <w:color w:val="auto"/>
                <w:sz w:val="24"/>
                <w:highlight w:val="none"/>
              </w:rPr>
            </w:pPr>
          </w:p>
        </w:tc>
        <w:tc>
          <w:tcPr>
            <w:tcW w:w="1207" w:type="dxa"/>
            <w:vAlign w:val="center"/>
          </w:tcPr>
          <w:p>
            <w:pPr>
              <w:spacing w:line="570" w:lineRule="exact"/>
              <w:contextualSpacing/>
              <w:rPr>
                <w:rFonts w:ascii="Times New Roman" w:hAnsi="Times New Roman" w:eastAsia="仿宋_GB2312" w:cs="Times New Roman"/>
                <w:color w:val="auto"/>
                <w:sz w:val="24"/>
                <w:highlight w:val="none"/>
              </w:rPr>
            </w:pPr>
          </w:p>
        </w:tc>
        <w:tc>
          <w:tcPr>
            <w:tcW w:w="1203" w:type="dxa"/>
            <w:vAlign w:val="center"/>
          </w:tcPr>
          <w:p>
            <w:pPr>
              <w:spacing w:line="570" w:lineRule="exact"/>
              <w:contextualSpacing/>
              <w:rPr>
                <w:rFonts w:ascii="Times New Roman" w:hAnsi="Times New Roman" w:eastAsia="仿宋_GB2312" w:cs="Times New Roman"/>
                <w:color w:val="auto"/>
                <w:sz w:val="24"/>
                <w:highlight w:val="none"/>
              </w:rPr>
            </w:pPr>
          </w:p>
        </w:tc>
        <w:tc>
          <w:tcPr>
            <w:tcW w:w="1298" w:type="dxa"/>
            <w:vAlign w:val="center"/>
          </w:tcPr>
          <w:p>
            <w:pPr>
              <w:spacing w:line="570" w:lineRule="exact"/>
              <w:contextualSpacing/>
              <w:rPr>
                <w:rFonts w:ascii="Times New Roman" w:hAnsi="Times New Roman" w:eastAsia="仿宋_GB2312" w:cs="Times New Roman"/>
                <w:color w:val="auto"/>
                <w:sz w:val="24"/>
                <w:highlight w:val="none"/>
              </w:rPr>
            </w:pPr>
          </w:p>
        </w:tc>
        <w:tc>
          <w:tcPr>
            <w:tcW w:w="1276" w:type="dxa"/>
            <w:vAlign w:val="center"/>
          </w:tcPr>
          <w:p>
            <w:pPr>
              <w:spacing w:line="570" w:lineRule="exact"/>
              <w:contextualSpacing/>
              <w:rPr>
                <w:rFonts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spacing w:line="570" w:lineRule="exact"/>
              <w:contextualSpacing/>
              <w:rPr>
                <w:rFonts w:ascii="Times New Roman" w:hAnsi="Times New Roman" w:eastAsia="仿宋_GB2312" w:cs="Times New Roman"/>
                <w:color w:val="auto"/>
                <w:sz w:val="24"/>
                <w:highlight w:val="none"/>
              </w:rPr>
            </w:pPr>
          </w:p>
        </w:tc>
        <w:tc>
          <w:tcPr>
            <w:tcW w:w="962" w:type="dxa"/>
            <w:vAlign w:val="center"/>
          </w:tcPr>
          <w:p>
            <w:pPr>
              <w:spacing w:line="570" w:lineRule="exact"/>
              <w:contextualSpacing/>
              <w:rPr>
                <w:rFonts w:ascii="Times New Roman" w:hAnsi="Times New Roman" w:eastAsia="仿宋_GB2312" w:cs="Times New Roman"/>
                <w:color w:val="auto"/>
                <w:sz w:val="24"/>
                <w:highlight w:val="none"/>
              </w:rPr>
            </w:pPr>
          </w:p>
        </w:tc>
        <w:tc>
          <w:tcPr>
            <w:tcW w:w="1207" w:type="dxa"/>
            <w:vAlign w:val="center"/>
          </w:tcPr>
          <w:p>
            <w:pPr>
              <w:spacing w:line="570" w:lineRule="exact"/>
              <w:contextualSpacing/>
              <w:rPr>
                <w:rFonts w:ascii="Times New Roman" w:hAnsi="Times New Roman" w:eastAsia="仿宋_GB2312" w:cs="Times New Roman"/>
                <w:color w:val="auto"/>
                <w:sz w:val="24"/>
                <w:highlight w:val="none"/>
              </w:rPr>
            </w:pPr>
          </w:p>
        </w:tc>
        <w:tc>
          <w:tcPr>
            <w:tcW w:w="1203" w:type="dxa"/>
            <w:vAlign w:val="center"/>
          </w:tcPr>
          <w:p>
            <w:pPr>
              <w:spacing w:line="570" w:lineRule="exact"/>
              <w:contextualSpacing/>
              <w:rPr>
                <w:rFonts w:ascii="Times New Roman" w:hAnsi="Times New Roman" w:eastAsia="仿宋_GB2312" w:cs="Times New Roman"/>
                <w:color w:val="auto"/>
                <w:sz w:val="24"/>
                <w:highlight w:val="none"/>
              </w:rPr>
            </w:pPr>
          </w:p>
        </w:tc>
        <w:tc>
          <w:tcPr>
            <w:tcW w:w="1298" w:type="dxa"/>
            <w:vAlign w:val="center"/>
          </w:tcPr>
          <w:p>
            <w:pPr>
              <w:spacing w:line="570" w:lineRule="exact"/>
              <w:contextualSpacing/>
              <w:rPr>
                <w:rFonts w:ascii="Times New Roman" w:hAnsi="Times New Roman" w:eastAsia="仿宋_GB2312" w:cs="Times New Roman"/>
                <w:color w:val="auto"/>
                <w:sz w:val="24"/>
                <w:highlight w:val="none"/>
              </w:rPr>
            </w:pPr>
          </w:p>
        </w:tc>
        <w:tc>
          <w:tcPr>
            <w:tcW w:w="1276" w:type="dxa"/>
            <w:vAlign w:val="center"/>
          </w:tcPr>
          <w:p>
            <w:pPr>
              <w:spacing w:line="570" w:lineRule="exact"/>
              <w:contextualSpacing/>
              <w:rPr>
                <w:rFonts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spacing w:line="570" w:lineRule="exact"/>
              <w:contextualSpacing/>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p>
        </w:tc>
        <w:tc>
          <w:tcPr>
            <w:tcW w:w="962" w:type="dxa"/>
            <w:vAlign w:val="center"/>
          </w:tcPr>
          <w:p>
            <w:pPr>
              <w:spacing w:line="570" w:lineRule="exact"/>
              <w:contextualSpacing/>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p>
        </w:tc>
        <w:tc>
          <w:tcPr>
            <w:tcW w:w="1207" w:type="dxa"/>
            <w:vAlign w:val="center"/>
          </w:tcPr>
          <w:p>
            <w:pPr>
              <w:spacing w:line="570" w:lineRule="exact"/>
              <w:contextualSpacing/>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p>
        </w:tc>
        <w:tc>
          <w:tcPr>
            <w:tcW w:w="1203" w:type="dxa"/>
            <w:vAlign w:val="center"/>
          </w:tcPr>
          <w:p>
            <w:pPr>
              <w:spacing w:line="570" w:lineRule="exact"/>
              <w:contextualSpacing/>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p>
        </w:tc>
        <w:tc>
          <w:tcPr>
            <w:tcW w:w="1298" w:type="dxa"/>
            <w:vAlign w:val="center"/>
          </w:tcPr>
          <w:p>
            <w:pPr>
              <w:spacing w:line="570" w:lineRule="exact"/>
              <w:contextualSpacing/>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p>
        </w:tc>
        <w:tc>
          <w:tcPr>
            <w:tcW w:w="1276" w:type="dxa"/>
            <w:vAlign w:val="center"/>
          </w:tcPr>
          <w:p>
            <w:pPr>
              <w:spacing w:line="570" w:lineRule="exact"/>
              <w:contextualSpacing/>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w:t>
            </w:r>
          </w:p>
        </w:tc>
      </w:tr>
    </w:tbl>
    <w:p>
      <w:pPr>
        <w:spacing w:line="570" w:lineRule="exact"/>
        <w:ind w:firstLine="560" w:firstLineChars="200"/>
        <w:contextualSpacing/>
        <w:rPr>
          <w:rFonts w:ascii="Times New Roman" w:hAnsi="Times New Roman" w:eastAsia="仿宋_GB2312" w:cs="Times New Roman"/>
          <w:color w:val="auto"/>
          <w:sz w:val="28"/>
          <w:szCs w:val="28"/>
          <w:highlight w:val="none"/>
        </w:rPr>
        <w:sectPr>
          <w:pgSz w:w="11906" w:h="16838"/>
          <w:pgMar w:top="1276" w:right="1247" w:bottom="1276" w:left="1588" w:header="851" w:footer="992" w:gutter="0"/>
          <w:cols w:space="720" w:num="1"/>
          <w:titlePg/>
          <w:docGrid w:type="lines" w:linePitch="312" w:charSpace="0"/>
        </w:sectPr>
      </w:pPr>
      <w:r>
        <w:rPr>
          <w:rFonts w:hint="default" w:ascii="Times New Roman" w:hAnsi="Times New Roman" w:eastAsia="仿宋_GB2312" w:cs="Times New Roman"/>
          <w:color w:val="auto"/>
          <w:sz w:val="28"/>
          <w:szCs w:val="28"/>
          <w:highlight w:val="none"/>
        </w:rPr>
        <w:t>一、合同功能及服务</w:t>
      </w:r>
      <w:r>
        <w:rPr>
          <w:rFonts w:ascii="Times New Roman" w:hAnsi="Times New Roman" w:eastAsia="仿宋_GB2312" w:cs="Times New Roman"/>
          <w:color w:val="auto"/>
          <w:sz w:val="28"/>
          <w:szCs w:val="28"/>
          <w:highlight w:val="none"/>
        </w:rPr>
        <w:t>清单</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二、合同总价</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合同总价为人民币大写：</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元，即RMB￥</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元；该合同总价已包括软件开发、培训、部署上线、验收合格交付使用之前及免费维保期内保修服务和协助运营服务等有关各项的含税费用。不含第三方软件接口、域名及硬件费用。本合同执行期间合同总价不变，甲方无须另向乙方支付本合同规定之外的其他任何费用。</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三、质量要求</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一）</w:t>
      </w:r>
      <w:r>
        <w:rPr>
          <w:rFonts w:hint="default" w:ascii="Times New Roman" w:hAnsi="Times New Roman" w:eastAsia="仿宋_GB2312" w:cs="Times New Roman"/>
          <w:color w:val="auto"/>
          <w:sz w:val="28"/>
          <w:szCs w:val="28"/>
          <w:highlight w:val="none"/>
        </w:rPr>
        <w:t>乙方须提供界面逻辑清晰、功能可靠的软件，且权属清楚，乙方提供之计算机软件系统不得侵害他人的知识产权，软件系统数据具备防篡改性。</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软件使用过程中出现问题，乙方应负责修复，费用由乙方负担。</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四、交货及验收</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乙方交付期限为签订合同并在</w:t>
      </w:r>
      <w:r>
        <w:rPr>
          <w:rFonts w:ascii="Times New Roman" w:hAnsi="Times New Roman" w:eastAsia="仿宋_GB2312" w:cs="Times New Roman"/>
          <w:color w:val="auto"/>
          <w:sz w:val="28"/>
          <w:szCs w:val="28"/>
          <w:highlight w:val="none"/>
        </w:rPr>
        <w:t>30</w:t>
      </w:r>
      <w:r>
        <w:rPr>
          <w:rFonts w:hint="default" w:ascii="Times New Roman" w:hAnsi="Times New Roman" w:eastAsia="仿宋_GB2312" w:cs="Times New Roman"/>
          <w:color w:val="auto"/>
          <w:sz w:val="28"/>
          <w:szCs w:val="28"/>
          <w:highlight w:val="none"/>
        </w:rPr>
        <w:t>个工作日内全部完成系统的设计、开发、安装调试工作，并保证在</w:t>
      </w:r>
      <w:r>
        <w:rPr>
          <w:rFonts w:ascii="Times New Roman" w:hAnsi="Times New Roman" w:eastAsia="仿宋_GB2312" w:cs="Times New Roman"/>
          <w:color w:val="auto"/>
          <w:sz w:val="28"/>
          <w:szCs w:val="28"/>
          <w:highlight w:val="none"/>
        </w:rPr>
        <w:t>安装调试完毕后2</w:t>
      </w:r>
      <w:r>
        <w:rPr>
          <w:rFonts w:hint="default" w:ascii="Times New Roman" w:hAnsi="Times New Roman" w:eastAsia="仿宋_GB2312" w:cs="Times New Roman"/>
          <w:color w:val="auto"/>
          <w:sz w:val="28"/>
          <w:szCs w:val="28"/>
          <w:highlight w:val="none"/>
        </w:rPr>
        <w:t>个</w:t>
      </w:r>
      <w:r>
        <w:rPr>
          <w:rFonts w:ascii="Times New Roman" w:hAnsi="Times New Roman" w:eastAsia="仿宋_GB2312" w:cs="Times New Roman"/>
          <w:color w:val="auto"/>
          <w:sz w:val="28"/>
          <w:szCs w:val="28"/>
          <w:highlight w:val="none"/>
        </w:rPr>
        <w:t>工作日内</w:t>
      </w:r>
      <w:r>
        <w:rPr>
          <w:rFonts w:hint="default" w:ascii="Times New Roman" w:hAnsi="Times New Roman" w:eastAsia="仿宋_GB2312" w:cs="Times New Roman"/>
          <w:color w:val="auto"/>
          <w:sz w:val="28"/>
          <w:szCs w:val="28"/>
          <w:highlight w:val="none"/>
        </w:rPr>
        <w:t>经甲方同意后试运行。</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二）</w:t>
      </w:r>
      <w:r>
        <w:rPr>
          <w:rFonts w:hint="default" w:ascii="Times New Roman" w:hAnsi="Times New Roman" w:eastAsia="仿宋_GB2312" w:cs="Times New Roman"/>
          <w:color w:val="auto"/>
          <w:sz w:val="28"/>
          <w:szCs w:val="28"/>
          <w:highlight w:val="none"/>
        </w:rPr>
        <w:t>乙方应向甲方提供所需必备资料清单，若甲方对乙方提供的资料有异议的，应在收到资料当日以书面形式向乙方提出，否则，视为乙方提供的资料符合甲方要求。</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验收由甲方组织，乙方配合进行：</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 “</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购网”电子商城平台福利专区在试运营2个月后并由乙方通知甲方验收后</w:t>
      </w:r>
      <w:r>
        <w:rPr>
          <w:rFonts w:ascii="Times New Roman" w:hAnsi="Times New Roman" w:eastAsia="仿宋_GB2312" w:cs="Times New Roman"/>
          <w:color w:val="auto"/>
          <w:sz w:val="28"/>
          <w:szCs w:val="28"/>
          <w:highlight w:val="none"/>
        </w:rPr>
        <w:t>10</w:t>
      </w:r>
      <w:r>
        <w:rPr>
          <w:rFonts w:hint="default" w:ascii="Times New Roman" w:hAnsi="Times New Roman" w:eastAsia="仿宋_GB2312" w:cs="Times New Roman"/>
          <w:color w:val="auto"/>
          <w:sz w:val="28"/>
          <w:szCs w:val="28"/>
          <w:highlight w:val="none"/>
        </w:rPr>
        <w:t>个工作日内验收；</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验收标准：按国家有关规定以及甲方比选文件的质量要求和技术指标、乙方的比选申请文件及承诺与本合同约定标准进行验收；甲乙双方如对质量要求和技术指标的约定标准有相互抵触或异议的事项，由甲方在比选与比选申请文件中按质量要求和技术指标比较优胜的原则确定该项的约定标准进行验收；</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验收时如发现所交付的软件无法正常使用或其它不符合标准及本合同规定之情形者，甲方应做出详尽的现场记录，或由甲乙双方签署备忘录，此现场记录或备忘录可用作补充、修复的有效证据，乙方应根据甲方要求进行整改，且工期不予顺延，由此产生的时间延误与有关费用由乙方承担；</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（4）如质量验收合格，双方签署质量验收报告。甲方的验收不免除乙方应承担的质量保证责任。</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乙方应将所提供软件的所有相关账号、源代码、用户使用手册等资料交付给甲方。</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五、软件开发售后服务</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免费质保期3年，以平台福利专区完成验收后开始，乙方将免费对“</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购网”电子商城平台福利专区进行运维服务和功能迭代。质保期内出现质量问题，除比选文件约定之外，乙方在接到通知后</w:t>
      </w:r>
      <w:r>
        <w:rPr>
          <w:rFonts w:ascii="Times New Roman" w:hAnsi="Times New Roman" w:eastAsia="仿宋_GB2312" w:cs="Times New Roman"/>
          <w:color w:val="auto"/>
          <w:sz w:val="28"/>
          <w:szCs w:val="28"/>
          <w:highlight w:val="none"/>
        </w:rPr>
        <w:t>60分钟内响应24小时内解决</w:t>
      </w:r>
      <w:r>
        <w:rPr>
          <w:rFonts w:hint="default" w:ascii="Times New Roman" w:hAnsi="Times New Roman" w:eastAsia="仿宋_GB2312" w:cs="Times New Roman"/>
          <w:color w:val="auto"/>
          <w:sz w:val="28"/>
          <w:szCs w:val="28"/>
          <w:highlight w:val="none"/>
        </w:rPr>
        <w:t>，并承担修复产生的全部费用；</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乙方须指派专人负责与甲方联系售后服务事宜。</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三）乙方提供</w:t>
      </w:r>
      <w:r>
        <w:rPr>
          <w:rFonts w:hint="default" w:ascii="Times New Roman" w:hAnsi="Times New Roman" w:eastAsia="仿宋_GB2312" w:cs="Times New Roman"/>
          <w:color w:val="auto"/>
          <w:sz w:val="28"/>
          <w:szCs w:val="28"/>
          <w:highlight w:val="none"/>
        </w:rPr>
        <w:t>1年7*24小</w:t>
      </w:r>
      <w:r>
        <w:rPr>
          <w:rFonts w:ascii="Times New Roman" w:hAnsi="Times New Roman" w:eastAsia="仿宋_GB2312" w:cs="Times New Roman"/>
          <w:color w:val="auto"/>
          <w:sz w:val="28"/>
          <w:szCs w:val="28"/>
          <w:highlight w:val="none"/>
        </w:rPr>
        <w:t>时服务，</w:t>
      </w:r>
      <w:r>
        <w:rPr>
          <w:rFonts w:hint="default" w:ascii="Times New Roman" w:hAnsi="Times New Roman" w:eastAsia="仿宋_GB2312" w:cs="Times New Roman"/>
          <w:color w:val="auto"/>
          <w:sz w:val="28"/>
          <w:szCs w:val="28"/>
          <w:highlight w:val="none"/>
        </w:rPr>
        <w:t>根</w:t>
      </w:r>
      <w:r>
        <w:rPr>
          <w:rFonts w:ascii="Times New Roman" w:hAnsi="Times New Roman" w:eastAsia="仿宋_GB2312" w:cs="Times New Roman"/>
          <w:color w:val="auto"/>
          <w:sz w:val="28"/>
          <w:szCs w:val="28"/>
          <w:highlight w:val="none"/>
        </w:rPr>
        <w:t>据甲方需求必要时上门服务。</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六、协助运营服务</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”电子商城平台福利专区开始上线运行的同时乙方即成为甲方“</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”电子商城平台福利专区的协助运营服务商。</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（二）乙方免费协助</w:t>
      </w:r>
      <w:r>
        <w:rPr>
          <w:rFonts w:hint="eastAsia" w:ascii="Times New Roman" w:hAnsi="Times New Roman" w:eastAsia="仿宋_GB2312" w:cs="Times New Roman"/>
          <w:color w:val="auto"/>
          <w:sz w:val="28"/>
          <w:szCs w:val="28"/>
          <w:highlight w:val="none"/>
          <w:lang w:val="en-US" w:eastAsia="zh-CN"/>
        </w:rPr>
        <w:t>E</w:t>
      </w:r>
      <w:r>
        <w:rPr>
          <w:rFonts w:hint="default" w:ascii="Times New Roman" w:hAnsi="Times New Roman" w:eastAsia="仿宋_GB2312" w:cs="Times New Roman"/>
          <w:color w:val="auto"/>
          <w:sz w:val="28"/>
          <w:szCs w:val="28"/>
          <w:highlight w:val="none"/>
        </w:rPr>
        <w:t>购网平台管理部门，提供“E购网”电子商城平台福利专区的整体协助运营服务，包括但不限于提供灵活多变的多样化福利发放使用方式、对内对外的营销推广、系统运营、售前售后支持、物流配送、服务能力提升、技术支持、功能页面优化等服务。乙方协助运营服务期限为三年，服务期满后若甲乙双方无异议，乙方将继续为甲方提供免费的协助运营、运维服务和功能迭代。</w:t>
      </w:r>
    </w:p>
    <w:p>
      <w:pPr>
        <w:spacing w:line="570" w:lineRule="exact"/>
        <w:ind w:firstLine="560" w:firstLineChars="200"/>
        <w:contextualSpacing/>
        <w:rPr>
          <w:rFonts w:ascii="Times New Roman" w:hAnsi="Times New Roman" w:eastAsia="仿宋" w:cs="Times New Roman"/>
          <w:color w:val="auto"/>
          <w:sz w:val="28"/>
          <w:szCs w:val="28"/>
          <w:highlight w:val="none"/>
        </w:rPr>
      </w:pPr>
      <w:r>
        <w:rPr>
          <w:rFonts w:hint="default" w:ascii="Times New Roman" w:hAnsi="Times New Roman" w:eastAsia="仿宋_GB2312" w:cs="Times New Roman"/>
          <w:color w:val="auto"/>
          <w:sz w:val="28"/>
          <w:szCs w:val="28"/>
          <w:highlight w:val="none"/>
        </w:rPr>
        <w:t>（三）乙方免费提供“E购网”电子商城平台福利专区运营所需的支付通道、资金清结算和对账等资金交易管理服务。</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（四）乙方严格按照甲方制定的供应商管理规范且在甲方监管下开展“E购网”电子商城平台福利专区供应商的引入工作，同时负责由甲方引入的供应商的接入支持工作。</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（五）乙方免费提供或打造“E购网”电子商城平台福利专区线上线下扫码提货或福利权益兑换服务场景。</w:t>
      </w:r>
    </w:p>
    <w:p>
      <w:pPr>
        <w:spacing w:line="570" w:lineRule="exact"/>
        <w:ind w:firstLine="560" w:firstLineChars="200"/>
        <w:contextualSpacing/>
        <w:rPr>
          <w:rFonts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（六）甲方将对“</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购网”电子商城平台福利专区各类福利产品的交易额提取交易提成，交易提成比例以后续合同约定为准</w:t>
      </w:r>
      <w:r>
        <w:rPr>
          <w:rFonts w:hint="default" w:ascii="Times New Roman" w:hAnsi="Times New Roman" w:eastAsia="仿宋" w:cs="Times New Roman"/>
          <w:color w:val="auto"/>
          <w:sz w:val="28"/>
          <w:szCs w:val="28"/>
          <w:highlight w:val="none"/>
        </w:rPr>
        <w:t>。</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七、付款方式</w:t>
      </w:r>
    </w:p>
    <w:p>
      <w:pPr>
        <w:spacing w:line="600" w:lineRule="exact"/>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的福利专区建设开发费用在甲方提取的交易提成中进行抵扣，对乙方的开发费用抵扣金额设定最高的抵扣限额（该最高的抵扣限额等于平台福利专区开发建设费用报价），甲方按照福利专区的交易提成比例分周期预先提取交易提成，累计的交易提成达到最高的抵扣限额前，甲方提取的福利专区的交易提成分周期予以返还。当累计的交易提成超过限额后，甲方对福利专区的交易提成进行正常提取。如果1</w:t>
      </w:r>
      <w:r>
        <w:rPr>
          <w:rFonts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rPr>
        <w:t>个月内（自乙方正式入驻甲方电子商城平台之日起算）乙方累计的交易提成没有达到本合同约定的建设开发合同总价，乙方自动放弃建设开发合同总价的剩余款项，甲方不再支付建设开发费用，甲方将在第1</w:t>
      </w:r>
      <w:r>
        <w:rPr>
          <w:rFonts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rPr>
        <w:t>个月起（自乙方正式入驻甲方电子商城平台之日起算）按照约定提成比例进行交易提成提取。</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八</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知</w:t>
      </w:r>
      <w:r>
        <w:rPr>
          <w:rFonts w:ascii="Times New Roman" w:hAnsi="Times New Roman" w:eastAsia="仿宋_GB2312" w:cs="Times New Roman"/>
          <w:color w:val="auto"/>
          <w:sz w:val="28"/>
          <w:szCs w:val="28"/>
          <w:highlight w:val="none"/>
        </w:rPr>
        <w:t>识产权</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1.乙方</w:t>
      </w:r>
      <w:r>
        <w:rPr>
          <w:rFonts w:ascii="Times New Roman" w:hAnsi="Times New Roman" w:eastAsia="仿宋_GB2312" w:cs="Times New Roman"/>
          <w:color w:val="auto"/>
          <w:sz w:val="28"/>
          <w:szCs w:val="28"/>
          <w:highlight w:val="none"/>
        </w:rPr>
        <w:t>应保证在本项目使用的</w:t>
      </w:r>
      <w:r>
        <w:rPr>
          <w:rFonts w:hint="default" w:ascii="Times New Roman" w:hAnsi="Times New Roman" w:eastAsia="仿宋_GB2312" w:cs="Times New Roman"/>
          <w:color w:val="auto"/>
          <w:sz w:val="28"/>
          <w:szCs w:val="28"/>
          <w:highlight w:val="none"/>
        </w:rPr>
        <w:t>任何</w:t>
      </w:r>
      <w:r>
        <w:rPr>
          <w:rFonts w:ascii="Times New Roman" w:hAnsi="Times New Roman" w:eastAsia="仿宋_GB2312" w:cs="Times New Roman"/>
          <w:color w:val="auto"/>
          <w:sz w:val="28"/>
          <w:szCs w:val="28"/>
          <w:highlight w:val="none"/>
        </w:rPr>
        <w:t>产品和服务、软件（包括部分使用），不会产生</w:t>
      </w:r>
      <w:r>
        <w:rPr>
          <w:rFonts w:hint="default" w:ascii="Times New Roman" w:hAnsi="Times New Roman" w:eastAsia="仿宋_GB2312" w:cs="Times New Roman"/>
          <w:color w:val="auto"/>
          <w:sz w:val="28"/>
          <w:szCs w:val="28"/>
          <w:highlight w:val="none"/>
        </w:rPr>
        <w:t>因</w:t>
      </w:r>
      <w:r>
        <w:rPr>
          <w:rFonts w:ascii="Times New Roman" w:hAnsi="Times New Roman" w:eastAsia="仿宋_GB2312" w:cs="Times New Roman"/>
          <w:color w:val="auto"/>
          <w:sz w:val="28"/>
          <w:szCs w:val="28"/>
          <w:highlight w:val="none"/>
        </w:rPr>
        <w:t>第三方提出侵犯其专利权、商标权或其</w:t>
      </w:r>
      <w:r>
        <w:rPr>
          <w:rFonts w:hint="default" w:ascii="Times New Roman" w:hAnsi="Times New Roman" w:eastAsia="仿宋_GB2312" w:cs="Times New Roman"/>
          <w:color w:val="auto"/>
          <w:sz w:val="28"/>
          <w:szCs w:val="28"/>
          <w:highlight w:val="none"/>
        </w:rPr>
        <w:t>它</w:t>
      </w:r>
      <w:r>
        <w:rPr>
          <w:rFonts w:ascii="Times New Roman" w:hAnsi="Times New Roman" w:eastAsia="仿宋_GB2312" w:cs="Times New Roman"/>
          <w:color w:val="auto"/>
          <w:sz w:val="28"/>
          <w:szCs w:val="28"/>
          <w:highlight w:val="none"/>
        </w:rPr>
        <w:t>知识产权而引起的法律和经济纠纷，如因专利权、商标权或其它知识</w:t>
      </w:r>
      <w:r>
        <w:rPr>
          <w:rFonts w:hint="default" w:ascii="Times New Roman" w:hAnsi="Times New Roman" w:eastAsia="仿宋_GB2312" w:cs="Times New Roman"/>
          <w:color w:val="auto"/>
          <w:sz w:val="28"/>
          <w:szCs w:val="28"/>
          <w:highlight w:val="none"/>
        </w:rPr>
        <w:t>产</w:t>
      </w:r>
      <w:r>
        <w:rPr>
          <w:rFonts w:ascii="Times New Roman" w:hAnsi="Times New Roman" w:eastAsia="仿宋_GB2312" w:cs="Times New Roman"/>
          <w:color w:val="auto"/>
          <w:sz w:val="28"/>
          <w:szCs w:val="28"/>
          <w:highlight w:val="none"/>
        </w:rPr>
        <w:t>权而引起法律和经济纠纷，由</w:t>
      </w:r>
      <w:r>
        <w:rPr>
          <w:rFonts w:hint="default" w:ascii="Times New Roman" w:hAnsi="Times New Roman" w:eastAsia="仿宋_GB2312" w:cs="Times New Roman"/>
          <w:color w:val="auto"/>
          <w:sz w:val="28"/>
          <w:szCs w:val="28"/>
          <w:highlight w:val="none"/>
        </w:rPr>
        <w:t>乙方</w:t>
      </w:r>
      <w:r>
        <w:rPr>
          <w:rFonts w:ascii="Times New Roman" w:hAnsi="Times New Roman" w:eastAsia="仿宋_GB2312" w:cs="Times New Roman"/>
          <w:color w:val="auto"/>
          <w:sz w:val="28"/>
          <w:szCs w:val="28"/>
          <w:highlight w:val="none"/>
        </w:rPr>
        <w:t>承担所有相关责任。</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rPr>
        <w:t>甲方享有</w:t>
      </w:r>
      <w:r>
        <w:rPr>
          <w:rFonts w:ascii="Times New Roman" w:hAnsi="Times New Roman" w:eastAsia="仿宋_GB2312" w:cs="Times New Roman"/>
          <w:color w:val="auto"/>
          <w:sz w:val="28"/>
          <w:szCs w:val="28"/>
          <w:highlight w:val="none"/>
        </w:rPr>
        <w:t>本项目实施过程中产生的知识成果及</w:t>
      </w:r>
      <w:r>
        <w:rPr>
          <w:rFonts w:hint="default" w:ascii="Times New Roman" w:hAnsi="Times New Roman" w:eastAsia="仿宋_GB2312" w:cs="Times New Roman"/>
          <w:color w:val="auto"/>
          <w:sz w:val="28"/>
          <w:szCs w:val="28"/>
          <w:highlight w:val="none"/>
        </w:rPr>
        <w:t>知</w:t>
      </w:r>
      <w:r>
        <w:rPr>
          <w:rFonts w:ascii="Times New Roman" w:hAnsi="Times New Roman" w:eastAsia="仿宋_GB2312" w:cs="Times New Roman"/>
          <w:color w:val="auto"/>
          <w:sz w:val="28"/>
          <w:szCs w:val="28"/>
          <w:highlight w:val="none"/>
        </w:rPr>
        <w:t>识产权。</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rPr>
        <w:t>乙方</w:t>
      </w:r>
      <w:r>
        <w:rPr>
          <w:rFonts w:ascii="Times New Roman" w:hAnsi="Times New Roman" w:eastAsia="仿宋_GB2312" w:cs="Times New Roman"/>
          <w:color w:val="auto"/>
          <w:sz w:val="28"/>
          <w:szCs w:val="28"/>
          <w:highlight w:val="none"/>
        </w:rPr>
        <w:t>如欲在本项目实施过程中</w:t>
      </w:r>
      <w:r>
        <w:rPr>
          <w:rFonts w:hint="default" w:ascii="Times New Roman" w:hAnsi="Times New Roman" w:eastAsia="仿宋_GB2312" w:cs="Times New Roman"/>
          <w:color w:val="auto"/>
          <w:sz w:val="28"/>
          <w:szCs w:val="28"/>
          <w:highlight w:val="none"/>
        </w:rPr>
        <w:t>采</w:t>
      </w:r>
      <w:r>
        <w:rPr>
          <w:rFonts w:ascii="Times New Roman" w:hAnsi="Times New Roman" w:eastAsia="仿宋_GB2312" w:cs="Times New Roman"/>
          <w:color w:val="auto"/>
          <w:sz w:val="28"/>
          <w:szCs w:val="28"/>
          <w:highlight w:val="none"/>
        </w:rPr>
        <w:t>用自有知识成果，需提供相关知识产权证明文件。使</w:t>
      </w:r>
      <w:r>
        <w:rPr>
          <w:rFonts w:hint="default" w:ascii="Times New Roman" w:hAnsi="Times New Roman" w:eastAsia="仿宋_GB2312" w:cs="Times New Roman"/>
          <w:color w:val="auto"/>
          <w:sz w:val="28"/>
          <w:szCs w:val="28"/>
          <w:highlight w:val="none"/>
        </w:rPr>
        <w:t>用</w:t>
      </w:r>
      <w:r>
        <w:rPr>
          <w:rFonts w:ascii="Times New Roman" w:hAnsi="Times New Roman" w:eastAsia="仿宋_GB2312" w:cs="Times New Roman"/>
          <w:color w:val="auto"/>
          <w:sz w:val="28"/>
          <w:szCs w:val="28"/>
          <w:highlight w:val="none"/>
        </w:rPr>
        <w:t>该知识成果后，</w:t>
      </w:r>
      <w:r>
        <w:rPr>
          <w:rFonts w:hint="default" w:ascii="Times New Roman" w:hAnsi="Times New Roman" w:eastAsia="仿宋_GB2312" w:cs="Times New Roman"/>
          <w:color w:val="auto"/>
          <w:sz w:val="28"/>
          <w:szCs w:val="28"/>
          <w:highlight w:val="none"/>
        </w:rPr>
        <w:t>乙方</w:t>
      </w:r>
      <w:r>
        <w:rPr>
          <w:rFonts w:ascii="Times New Roman" w:hAnsi="Times New Roman" w:eastAsia="仿宋_GB2312" w:cs="Times New Roman"/>
          <w:color w:val="auto"/>
          <w:sz w:val="28"/>
          <w:szCs w:val="28"/>
          <w:highlight w:val="none"/>
        </w:rPr>
        <w:t>需提供开发接口和开发手册等技术</w:t>
      </w:r>
      <w:r>
        <w:rPr>
          <w:rFonts w:hint="default" w:ascii="Times New Roman" w:hAnsi="Times New Roman" w:eastAsia="仿宋_GB2312" w:cs="Times New Roman"/>
          <w:color w:val="auto"/>
          <w:sz w:val="28"/>
          <w:szCs w:val="28"/>
          <w:highlight w:val="none"/>
        </w:rPr>
        <w:t>文</w:t>
      </w:r>
      <w:r>
        <w:rPr>
          <w:rFonts w:ascii="Times New Roman" w:hAnsi="Times New Roman" w:eastAsia="仿宋_GB2312" w:cs="Times New Roman"/>
          <w:color w:val="auto"/>
          <w:sz w:val="28"/>
          <w:szCs w:val="28"/>
          <w:highlight w:val="none"/>
        </w:rPr>
        <w:t>档，并承诺提供无限期技术支持，</w:t>
      </w:r>
      <w:r>
        <w:rPr>
          <w:rFonts w:hint="default" w:ascii="Times New Roman" w:hAnsi="Times New Roman" w:eastAsia="仿宋_GB2312" w:cs="Times New Roman"/>
          <w:color w:val="auto"/>
          <w:sz w:val="28"/>
          <w:szCs w:val="28"/>
          <w:highlight w:val="none"/>
        </w:rPr>
        <w:t>甲方</w:t>
      </w:r>
      <w:r>
        <w:rPr>
          <w:rFonts w:ascii="Times New Roman" w:hAnsi="Times New Roman" w:eastAsia="仿宋_GB2312" w:cs="Times New Roman"/>
          <w:color w:val="auto"/>
          <w:sz w:val="28"/>
          <w:szCs w:val="28"/>
          <w:highlight w:val="none"/>
        </w:rPr>
        <w:t>享</w:t>
      </w:r>
      <w:r>
        <w:rPr>
          <w:rFonts w:hint="default" w:ascii="Times New Roman" w:hAnsi="Times New Roman" w:eastAsia="仿宋_GB2312" w:cs="Times New Roman"/>
          <w:color w:val="auto"/>
          <w:sz w:val="28"/>
          <w:szCs w:val="28"/>
          <w:highlight w:val="none"/>
        </w:rPr>
        <w:t>有</w:t>
      </w:r>
      <w:r>
        <w:rPr>
          <w:rFonts w:ascii="Times New Roman" w:hAnsi="Times New Roman" w:eastAsia="仿宋_GB2312" w:cs="Times New Roman"/>
          <w:color w:val="auto"/>
          <w:sz w:val="28"/>
          <w:szCs w:val="28"/>
          <w:highlight w:val="none"/>
        </w:rPr>
        <w:t>永久使用权。</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九、违约责任</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乙方违约责任</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1、乙方交付的软件质量不符合合同规定的，乙方应向甲方支付合同总价的百分之</w:t>
      </w:r>
      <w:r>
        <w:rPr>
          <w:rFonts w:hint="default" w:ascii="Times New Roman" w:hAnsi="Times New Roman" w:eastAsia="仿宋_GB2312" w:cs="Times New Roman"/>
          <w:color w:val="auto"/>
          <w:sz w:val="28"/>
          <w:szCs w:val="28"/>
          <w:highlight w:val="none"/>
          <w:u w:val="single"/>
        </w:rPr>
        <w:t>五</w:t>
      </w:r>
      <w:r>
        <w:rPr>
          <w:rFonts w:hint="default" w:ascii="Times New Roman" w:hAnsi="Times New Roman" w:eastAsia="仿宋_GB2312" w:cs="Times New Roman"/>
          <w:color w:val="auto"/>
          <w:sz w:val="28"/>
          <w:szCs w:val="28"/>
          <w:highlight w:val="none"/>
        </w:rPr>
        <w:t>的违约金，并须在合同规定的交货时间内提供合格的软件给甲方，否则，视作乙方不能交付软件而违约，按本条本款下述第“（2）”项规定由乙方偿付违约金给甲方。</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2、乙方不能交付软件或逾期交付软件或逾期完成安装部署的，除应及时交付软件、完成安装外，还应从合同约定的交付日期向甲方偿付合同总额的万分之</w:t>
      </w:r>
      <w:r>
        <w:rPr>
          <w:rFonts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single"/>
        </w:rPr>
        <w:t xml:space="preserve">五 </w:t>
      </w:r>
      <w:r>
        <w:rPr>
          <w:rFonts w:hint="default" w:ascii="Times New Roman" w:hAnsi="Times New Roman" w:eastAsia="仿宋_GB2312" w:cs="Times New Roman"/>
          <w:color w:val="auto"/>
          <w:sz w:val="28"/>
          <w:szCs w:val="28"/>
          <w:highlight w:val="none"/>
        </w:rPr>
        <w:t>/天的违约金；累计逾期超过十天，甲方有权终止合同，乙方则应按合同总价的百分之</w:t>
      </w:r>
      <w:r>
        <w:rPr>
          <w:rFonts w:hint="default" w:ascii="Times New Roman" w:hAnsi="Times New Roman" w:eastAsia="仿宋_GB2312" w:cs="Times New Roman"/>
          <w:color w:val="auto"/>
          <w:sz w:val="28"/>
          <w:szCs w:val="28"/>
          <w:highlight w:val="none"/>
          <w:u w:val="single"/>
        </w:rPr>
        <w:t>五</w:t>
      </w:r>
      <w:r>
        <w:rPr>
          <w:rFonts w:hint="default" w:ascii="Times New Roman" w:hAnsi="Times New Roman" w:eastAsia="仿宋_GB2312" w:cs="Times New Roman"/>
          <w:color w:val="auto"/>
          <w:sz w:val="28"/>
          <w:szCs w:val="28"/>
          <w:highlight w:val="none"/>
        </w:rPr>
        <w:t>的款额向甲方偿付违约金，并须全额退还甲方已经付给乙方的款项及其</w:t>
      </w:r>
      <w:r>
        <w:rPr>
          <w:rFonts w:hint="eastAsia" w:ascii="Times New Roman" w:hAnsi="Times New Roman" w:eastAsia="仿宋_GB2312" w:cs="Times New Roman"/>
          <w:color w:val="auto"/>
          <w:sz w:val="28"/>
          <w:szCs w:val="28"/>
          <w:highlight w:val="none"/>
          <w:lang w:eastAsia="zh-CN"/>
        </w:rPr>
        <w:t>资金</w:t>
      </w:r>
      <w:r>
        <w:rPr>
          <w:rFonts w:hint="default" w:ascii="Times New Roman" w:hAnsi="Times New Roman" w:eastAsia="仿宋_GB2312" w:cs="Times New Roman"/>
          <w:color w:val="auto"/>
          <w:sz w:val="28"/>
          <w:szCs w:val="28"/>
          <w:highlight w:val="none"/>
        </w:rPr>
        <w:t>利息</w:t>
      </w:r>
      <w:r>
        <w:rPr>
          <w:rFonts w:hint="eastAsia" w:ascii="Times New Roman" w:hAnsi="Times New Roman" w:eastAsia="仿宋_GB2312" w:cs="Times New Roman"/>
          <w:color w:val="auto"/>
          <w:sz w:val="28"/>
          <w:szCs w:val="28"/>
          <w:highlight w:val="none"/>
          <w:lang w:eastAsia="zh-CN"/>
        </w:rPr>
        <w:t>，利息标准以</w:t>
      </w:r>
      <w:r>
        <w:rPr>
          <w:rFonts w:hint="default" w:ascii="Times New Roman" w:hAnsi="Times New Roman" w:eastAsia="仿宋_GB2312" w:cs="Times New Roman"/>
          <w:color w:val="auto"/>
          <w:sz w:val="28"/>
          <w:szCs w:val="28"/>
          <w:highlight w:val="none"/>
        </w:rPr>
        <w:t>合同约定的交付日期</w:t>
      </w:r>
      <w:r>
        <w:rPr>
          <w:rFonts w:hint="eastAsia" w:ascii="Times New Roman" w:hAnsi="Times New Roman" w:eastAsia="仿宋_GB2312" w:cs="Times New Roman"/>
          <w:color w:val="auto"/>
          <w:sz w:val="28"/>
          <w:szCs w:val="28"/>
          <w:highlight w:val="none"/>
          <w:lang w:eastAsia="zh-CN"/>
        </w:rPr>
        <w:t>当月</w:t>
      </w:r>
      <w:r>
        <w:rPr>
          <w:rFonts w:hint="default" w:ascii="Times New Roman" w:hAnsi="Times New Roman" w:eastAsia="仿宋_GB2312" w:cs="Times New Roman"/>
          <w:color w:val="auto"/>
          <w:sz w:val="28"/>
          <w:szCs w:val="28"/>
          <w:highlight w:val="none"/>
        </w:rPr>
        <w:t>全国银行间同业拆借中心公布</w:t>
      </w:r>
      <w:r>
        <w:rPr>
          <w:rFonts w:hint="eastAsia"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贷款市场报价利率（LPR）</w:t>
      </w:r>
      <w:r>
        <w:rPr>
          <w:rFonts w:hint="eastAsia" w:ascii="Times New Roman" w:hAnsi="Times New Roman" w:eastAsia="仿宋_GB2312" w:cs="Times New Roman"/>
          <w:color w:val="auto"/>
          <w:sz w:val="28"/>
          <w:szCs w:val="28"/>
          <w:highlight w:val="none"/>
          <w:lang w:eastAsia="zh-CN"/>
        </w:rPr>
        <w:t>确定</w:t>
      </w:r>
      <w:r>
        <w:rPr>
          <w:rFonts w:hint="default" w:ascii="Times New Roman" w:hAnsi="Times New Roman" w:eastAsia="仿宋_GB2312" w:cs="Times New Roman"/>
          <w:color w:val="auto"/>
          <w:sz w:val="28"/>
          <w:szCs w:val="28"/>
          <w:highlight w:val="none"/>
        </w:rPr>
        <w:t>。</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在本合同履行过程中，乙方应妥善处理并保管甲方的数据、资料，若乙方造成甲方数据、资料丢失的，乙方应赔偿甲方的全部损失，且甲方有权无责解除本合同，乙方应支付合同总价的百分之二十的违约金给甲方，并赔偿甲方的全部损失。</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4、在质保期内，乙方应按照售后服务条款对“</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购网”电子商城平台福利专区进行售后服务，保证平台福利专区的正常运行。若因为乙方的质保服务不及时等原因造成“</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购网”电子商城平台福利专区不能正常运营超过2</w:t>
      </w:r>
      <w:r>
        <w:rPr>
          <w:rFonts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rPr>
        <w:t>个小时，乙方应支付合同总价的百分之五的违约金给甲方。</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5、乙方在“</w:t>
      </w:r>
      <w:r>
        <w:rPr>
          <w:rFonts w:ascii="Times New Roman" w:hAnsi="Times New Roman" w:eastAsia="仿宋_GB2312" w:cs="Times New Roman"/>
          <w:color w:val="auto"/>
          <w:sz w:val="28"/>
          <w:szCs w:val="28"/>
          <w:highlight w:val="none"/>
        </w:rPr>
        <w:t>E</w:t>
      </w:r>
      <w:r>
        <w:rPr>
          <w:rFonts w:hint="default" w:ascii="Times New Roman" w:hAnsi="Times New Roman" w:eastAsia="仿宋_GB2312" w:cs="Times New Roman"/>
          <w:color w:val="auto"/>
          <w:sz w:val="28"/>
          <w:szCs w:val="28"/>
          <w:highlight w:val="none"/>
        </w:rPr>
        <w:t>购网”电子商城平台福利专区的运营期间应依法合规的开展协助运营工作。若乙方有以下情节之一的，由乙方承担全部责任，甲方有权提前终止其协助运营资格和终止本合同，并追究乙方相关责任：</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（1）乙方协助运营工作违反国家法律法规；</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（2）乙方协助运营工作给“</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”电子商城平台带来较大经营风险；</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（3）乙方协助运营工作给甲方或“</w:t>
      </w:r>
      <w:r>
        <w:rPr>
          <w:rFonts w:ascii="Times New Roman" w:hAnsi="Times New Roman" w:eastAsia="仿宋_GB2312" w:cs="Times New Roman"/>
          <w:color w:val="auto"/>
          <w:sz w:val="28"/>
          <w:szCs w:val="28"/>
          <w:highlight w:val="none"/>
        </w:rPr>
        <w:t>E购网</w:t>
      </w:r>
      <w:r>
        <w:rPr>
          <w:rFonts w:hint="default" w:ascii="Times New Roman" w:hAnsi="Times New Roman" w:eastAsia="仿宋_GB2312" w:cs="Times New Roman"/>
          <w:color w:val="auto"/>
          <w:sz w:val="28"/>
          <w:szCs w:val="28"/>
          <w:highlight w:val="none"/>
        </w:rPr>
        <w:t>”电子商城平台带来较大声誉影响。</w:t>
      </w:r>
    </w:p>
    <w:p>
      <w:pPr>
        <w:spacing w:line="570" w:lineRule="exact"/>
        <w:ind w:firstLine="560" w:firstLineChars="20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十、争议解决办法</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因软件的质量问题发生争议，由双方均认可的质量技术监督部门或其指定的软件测评机构进行质量鉴定，鉴定费由乙方承担。</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合同履行期间,若双方发生争议，可协商或由有关部门调解解决，协商或调解不成的，双方同意将前述争议提交甲方所在地人民法院诉讼解决。</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十一、其他</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甲方拥有本协议中软件系统正常使用所需的全部权限，包括但不限于使用权限和管理权限。</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如有未尽事宜，由双方依法订立补充合同。</w:t>
      </w:r>
    </w:p>
    <w:p>
      <w:pPr>
        <w:spacing w:line="570" w:lineRule="exact"/>
        <w:ind w:firstLine="420" w:firstLineChars="150"/>
        <w:contextualSpacing/>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本合同一式六份，甲方和乙方各三份，每份具有同等法律效力。本合同自双方盖章之日起生效。</w:t>
      </w:r>
    </w:p>
    <w:p>
      <w:pPr>
        <w:spacing w:line="570" w:lineRule="exact"/>
        <w:contextualSpacing/>
        <w:rPr>
          <w:rFonts w:ascii="Times New Roman" w:hAnsi="Times New Roman" w:eastAsia="仿宋_GB2312" w:cs="Times New Roman"/>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甲方：   （盖章）   </w:t>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 xml:space="preserve">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法定代表人（授权代表）：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地    址：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开户银行：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账号：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电    话：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传    真：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签约日期：年   月   日 </w:t>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 xml:space="preserve">    </w:t>
      </w:r>
    </w:p>
    <w:p>
      <w:pPr>
        <w:spacing w:line="570" w:lineRule="exact"/>
        <w:contextualSpacing/>
        <w:rPr>
          <w:rFonts w:ascii="Times New Roman" w:hAnsi="Times New Roman" w:eastAsia="仿宋_GB2312" w:cs="Times New Roman"/>
          <w:bCs/>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乙方：   （盖章）   </w:t>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 xml:space="preserve">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法定代表人（授权代表）：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地    址：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开户银行：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账号：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电    话：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传    真：                      </w:t>
      </w:r>
    </w:p>
    <w:p>
      <w:pPr>
        <w:spacing w:line="570" w:lineRule="exact"/>
        <w:contextualSpacing/>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签约日期：年   月   日 </w:t>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ab/>
      </w:r>
      <w:r>
        <w:rPr>
          <w:rFonts w:hint="default" w:ascii="Times New Roman" w:hAnsi="Times New Roman" w:eastAsia="仿宋_GB2312" w:cs="Times New Roman"/>
          <w:bCs/>
          <w:color w:val="auto"/>
          <w:sz w:val="28"/>
          <w:szCs w:val="28"/>
          <w:highlight w:val="none"/>
        </w:rPr>
        <w:t xml:space="preserve">    </w:t>
      </w:r>
    </w:p>
    <w:p>
      <w:pPr>
        <w:widowControl/>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color w:val="auto"/>
          <w:kern w:val="44"/>
          <w:sz w:val="44"/>
          <w:szCs w:val="44"/>
          <w:highlight w:val="none"/>
          <w:lang w:val="zh-CN"/>
        </w:rPr>
      </w:pPr>
      <w:bookmarkStart w:id="41" w:name="_Toc3806"/>
      <w:bookmarkStart w:id="42" w:name="_Toc38447193"/>
      <w:bookmarkStart w:id="43" w:name="_Toc1497"/>
      <w:r>
        <w:rPr>
          <w:rFonts w:hint="default" w:ascii="Times New Roman" w:hAnsi="Times New Roman" w:eastAsia="方正小标宋简体" w:cs="Times New Roman"/>
          <w:b/>
          <w:bCs/>
          <w:color w:val="auto"/>
          <w:kern w:val="44"/>
          <w:sz w:val="44"/>
          <w:szCs w:val="44"/>
          <w:highlight w:val="none"/>
          <w:lang w:val="zh-CN"/>
        </w:rPr>
        <w:t>运维服务保密协议</w:t>
      </w:r>
      <w:bookmarkEnd w:id="41"/>
      <w:bookmarkEnd w:id="42"/>
      <w:bookmarkEnd w:id="43"/>
    </w:p>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一、运维服务保密协议</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 xml:space="preserve">甲方： </w:t>
      </w:r>
      <w:r>
        <w:rPr>
          <w:rFonts w:hint="default" w:ascii="Times New Roman" w:hAnsi="Times New Roman" w:eastAsia="仿宋_GB2312" w:cs="Times New Roman"/>
          <w:color w:val="auto"/>
          <w:sz w:val="28"/>
          <w:szCs w:val="28"/>
          <w:highlight w:val="none"/>
        </w:rPr>
        <w:t>                </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 xml:space="preserve">乙方： </w:t>
      </w:r>
      <w:r>
        <w:rPr>
          <w:rFonts w:hint="default" w:ascii="Times New Roman" w:hAnsi="Times New Roman" w:eastAsia="仿宋_GB2312" w:cs="Times New Roman"/>
          <w:color w:val="auto"/>
          <w:sz w:val="28"/>
          <w:szCs w:val="28"/>
          <w:highlight w:val="none"/>
        </w:rPr>
        <w:t>                    </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鉴于：</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1.乙方为甲方提供服务，服务项目为：</w:t>
      </w:r>
      <w:r>
        <w:rPr>
          <w:rFonts w:hint="default" w:ascii="Times New Roman" w:hAnsi="Times New Roman" w:eastAsia="仿宋_GB2312" w:cs="Times New Roman"/>
          <w:color w:val="auto"/>
          <w:sz w:val="28"/>
          <w:szCs w:val="28"/>
          <w:highlight w:val="none"/>
          <w:u w:val="single"/>
        </w:rPr>
        <w:t>                    </w:t>
      </w:r>
      <w:r>
        <w:rPr>
          <w:rFonts w:hint="default" w:ascii="Times New Roman" w:hAnsi="Times New Roman" w:eastAsia="仿宋_GB2312" w:cs="Times New Roman"/>
          <w:color w:val="auto"/>
          <w:sz w:val="28"/>
          <w:szCs w:val="28"/>
          <w:highlight w:val="none"/>
        </w:rPr>
        <w:t> （以下简称“项目”）；</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2.甲方已经或将向乙方披露其保密信息。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为保护甲方的商业秘密不受侵犯，明确乙方的保密义务，经协商一致，达成如下协议：</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第1条  保密信息的范围</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  保密信息是指由甲方通过文字、电子、数字方式或其它任何方式向乙方提供的各类信息。保密信息包括但不限于：</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（1）数据库所有的数据；</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（2）客户或潜在客户的身份及其他相关信息、客户联系方式和客户销售策略等；</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（3）市场研究结果，市场渗透资料，及其他市场信息；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（4）销售和市场计划、规划及策略；</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（5）销售额、成本和其他财务数据；</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（6）经营秘密、技术秘密、设计及专有的经营和技术信息，与本协议所涉及产品及其程序设计、源码等有关的方法、经验、程序、步骤；</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（7）产品、零件及服务的供应源；</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（8）任何其他秘密工艺、配方或方法；</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（9）本项目进行中形成的技术、产权、软件成果、研究思路在对外公布之前。</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  无论甲方在提供信息时是否标明“保密”，乙方均应按保密信息对待，除非甲方明确说明不属于保密信息。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  本协议同样适用于本协议签订之前甲方已经向乙方提供的保密信息。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  特别强调的是，下列信息属于保密信息：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val="single"/>
        </w:rPr>
        <w:t>                    </w:t>
      </w:r>
      <w:r>
        <w:rPr>
          <w:rFonts w:hint="default" w:ascii="Times New Roman" w:hAnsi="Times New Roman" w:eastAsia="仿宋_GB2312" w:cs="Times New Roman"/>
          <w:color w:val="auto"/>
          <w:sz w:val="28"/>
          <w:szCs w:val="28"/>
          <w:highlight w:val="none"/>
        </w:rPr>
        <w:t> 。</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  保密信息不包括以下信息：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（1）甲方已经公布于众的资料，但不包括甲乙双方或其代表违反本协议规定未经授权所披露的；</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（2）乙方已经独立开发的及未曾违反任何法律、法规或甲方的任何权利的信息，并且该等信息是在乙方依照本协议条款从甲方获悉该等信息之前独立开发的；</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（3）乙方在依照本协议条款从甲方获悉之前已经占有的信息，并且就乙方所知乙方并不需要对该等信息承担任何具有约束力的保密义务；</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  在双方签订本协议以后并非由于乙方的过错而被公众所知的信息；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（5）乙方在未违反其对甲方承担的任何义务的情况下从第三方获得的信息。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第2条  保密信息的使用</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  乙方应使所有保密信息得到最严格的保密，除双方明确约定在项目中需要使用以外，不得使用该等保密信息。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  在履行上述义务时，乙方均应采取不低于与保护其自身保密信息所用措施同样严格的措施，并责成其每一位有可能得到保密信息的董事、管理人员、雇员或代理人（以下合称乙方人员）履行本协议中约定的义务。</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乙方人员违反本协议约定的，视为乙方违反本协议约定。</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  除非事先取得甲方的书面同意，否则乙方不得复制、出版或向第三方披露任何保密信息。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  如果具有司法管辖权的法庭或政府主管部门要求乙方披露保密信息，乙方应事先通知甲方，使甲方能够查验需要披露的保密信息。</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  保密义务的特别要求：</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val="single"/>
        </w:rPr>
        <w:t>                    </w:t>
      </w:r>
      <w:r>
        <w:rPr>
          <w:rFonts w:hint="default" w:ascii="Times New Roman" w:hAnsi="Times New Roman" w:eastAsia="仿宋_GB2312" w:cs="Times New Roman"/>
          <w:color w:val="auto"/>
          <w:sz w:val="28"/>
          <w:szCs w:val="28"/>
          <w:highlight w:val="none"/>
        </w:rPr>
        <w:t> 。</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第3条  文件退还</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  如本项目解除或终止合作，乙方应根据甲方的要求完成归还或销毁措施。具体包括：向甲方退还全部保密信息及其全部副本（不论其是否是在计算机磁盘、光盘读取器、光盘、硬盘或软件中或在纸张载体上存储、保存或记录的）；如果乙方退还上述保密信息及其全部副本为不可行，则该乙方应将其销毁，或者从计算机或其他电子系统中将其删除或抹掉。以下统称“归还或销毁措施”。</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  在双方的服务（或合作）解除或终止之前，甲方亦有权要求乙方采取归还或销毁措施，乙方应予配合。</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第4条  保密信息的所有权</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本协议的任何规定均不得被视为向乙方授予任何保密信息的任何专有权、转让权或所有权。</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第5条  违约责任</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乙方如果违反其在本协议项下的保密义务，应同时向甲方承担以下违约责任：</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5.1  向甲方支付违约金</w:t>
      </w:r>
      <w:r>
        <w:rPr>
          <w:rFonts w:hint="default" w:ascii="Times New Roman" w:hAnsi="Times New Roman" w:eastAsia="仿宋_GB2312" w:cs="Times New Roman"/>
          <w:color w:val="auto"/>
          <w:sz w:val="28"/>
          <w:szCs w:val="28"/>
          <w:highlight w:val="none"/>
          <w:u w:val="single"/>
        </w:rPr>
        <w:t>   </w:t>
      </w:r>
      <w:r>
        <w:rPr>
          <w:rFonts w:ascii="Times New Roman" w:hAnsi="Times New Roman" w:eastAsia="仿宋_GB2312" w:cs="Times New Roman"/>
          <w:color w:val="auto"/>
          <w:sz w:val="28"/>
          <w:szCs w:val="28"/>
          <w:highlight w:val="none"/>
          <w:u w:val="single"/>
        </w:rPr>
        <w:t xml:space="preserve"> 100万元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5.2  赔偿甲方因上述违约而导致的全部实际损失，包括但不限于律师费、调查费、公证费、诉讼或仲裁费等费用支出。</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第6条  其他约定</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6.1  本协议在双方的项目解除或终止后仍然有效。</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6.2  乙方在本协议项下的义务对其法定继承人和许可受让人均有约束力。</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6.3  因本协议引起的或与本协议有关的任何争议，各方同意由甲方所在地人民法院管辖。</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6.4  本协议一式六份，双方各持三份，每份皆具有同等法律效力。</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6.5  本协议在双方签字盖章之日起生效。</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sectPr>
          <w:pgSz w:w="11906" w:h="16838"/>
          <w:pgMar w:top="1276" w:right="1247" w:bottom="1276" w:left="1588" w:header="851" w:footer="992" w:gutter="0"/>
          <w:cols w:space="720" w:num="1"/>
          <w:titlePg/>
          <w:docGrid w:type="lines" w:linePitch="312" w:charSpace="0"/>
        </w:sect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br w:type="textWrapping"/>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甲方（盖章）：                            乙方（盖章）：</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法定代表人或授权代表（签字）：            法定代表人或授权代表（签字）：</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签署时间：    年  月  日                  签署时间：    年  月  日</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p>
    <w:p>
      <w:pPr>
        <w:spacing w:line="570" w:lineRule="exact"/>
        <w:contextualSpacing/>
        <w:rPr>
          <w:rFonts w:ascii="Times New Roman" w:hAnsi="Times New Roman" w:eastAsia="仿宋_GB2312" w:cs="Times New Roman"/>
          <w:b/>
          <w:bCs/>
          <w:color w:val="auto"/>
          <w:sz w:val="28"/>
          <w:szCs w:val="28"/>
          <w:highlight w:val="none"/>
        </w:rPr>
        <w:sectPr>
          <w:type w:val="continuous"/>
          <w:pgSz w:w="11906" w:h="16838"/>
          <w:pgMar w:top="1276" w:right="1247" w:bottom="1276" w:left="1588" w:header="851" w:footer="992" w:gutter="0"/>
          <w:cols w:space="720" w:num="1"/>
          <w:titlePg/>
          <w:docGrid w:type="lines" w:linePitch="312" w:charSpace="0"/>
        </w:sectPr>
      </w:pPr>
    </w:p>
    <w:p>
      <w:pP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二、运维人员保密协议</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甲方（企业）：</w:t>
      </w:r>
      <w:r>
        <w:rPr>
          <w:rFonts w:hint="default" w:ascii="Times New Roman" w:hAnsi="Times New Roman" w:eastAsia="仿宋_GB2312" w:cs="Times New Roman"/>
          <w:color w:val="auto"/>
          <w:sz w:val="28"/>
          <w:szCs w:val="28"/>
          <w:highlight w:val="none"/>
        </w:rPr>
        <w:t>四川交投物流有限公司</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乙方：</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身份证号：</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丙方（企业）：</w:t>
      </w:r>
    </w:p>
    <w:p>
      <w:pPr>
        <w:pStyle w:val="12"/>
        <w:spacing w:before="0" w:beforeAutospacing="0" w:after="0" w:line="570" w:lineRule="exact"/>
        <w:contextualSpacing/>
        <w:jc w:val="both"/>
        <w:rPr>
          <w:rFonts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法定代表人：</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是丙方正式工作人员，受丙方派遣在甲方单位履行职务，已经（或将要）知悉甲方的商业秘密。甲、乙双方平等协商，依据中国有关法律法规订立本保密协议。双方确认在签署本协议前已经详细审阅过协议的内容，并完全了解协议各条款的法律含义。</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第一条  保密的内容和范围</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甲、乙双方确认，乙方应承担保密义务的甲方商业秘密范围包括但不限于以下内容：</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 技术信息。技术信息的范围一般包括技术方案、工程设计、电路设计、制造方法、配方、工艺流程、技术指标、计算机软件、数据库、试验结果、图纸、样品样机、模型模具、操作手册、技术文档、涉及商业秘密的业务函电等。</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 经营信息。经营信息的范围一般包括客户名单、营销计划、采购资料、定价政策、不公开的财务资料、劳动报酬、进货渠道、产销政策、招投标中的标的及标书内容等。</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 公司依照法律规定和有关协议约定对外应承担保密义务的事项等。</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第二条  乙方的保密义务</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 主动采取加密措施对上述所列及之商业秘密进行保护，防止不承担同等保密义务的任何第三方知悉及使用；</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 不得刺探或者以其他不正当手段（包括利用计算机进行检索、浏览、复制等）获取与本职工作或本身业务无关的甲方单位的商业秘密；</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 不得向不承担同等保密义务的任何第三人披露甲方单位的商业秘密；</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 不得允许（包括出借、赠与、出租、转让等行为）或协助不承担同等保密义务的任何第三人使用甲方单位的商业秘密；</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 不论因何种原因终止在甲方单位履行职务，都不得利用甲方单位的商业秘密为其他与甲方有竞争关系的企业（包括自办企业）服务；</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 甲方单位商业秘密所有权始终全部归属甲方，乙方不得利用自身对甲方单位的商业秘密不同程度的了解申请对于甲方单位的商业秘密所有权，在本协议签订前经乙方书面证明已依法具有某些所有权者除外；</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2.7 如发现甲方关于甲方单位的商业秘密被泄露或者自己过失泄露秘密，应当采取有效措施防止泄密进一步扩大，并及时向甲方公司报告。</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第三条  商业秘密的停止使用</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 乙方停止在甲方单位履行职务后，应停止使用所有的甲方商业秘密，而且只要此种商业秘密尚未依法进入公众领域，乙方就不得继续使用，也不得向任何个人、法人或其他经济组织等披露此种商业秘密。</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 无论何时，一旦甲方要求，乙方应随时将从甲方及甲方项目获得的一切资料文件及其复制件归还甲方或双方销毁。</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第四条  保密期限</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双方同意本协议规定的保密期限为自本协议签署之日起至乙方终止在甲方单位履行职务或解除后二年内有效；在保密期限内，乙方无论因何种原因终止在甲方单位履行职务，仍须承担如同任职期间一样的保密义务。</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第五条  违约责任</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如果乙方不履行本协议所规定的保密义务，应当承担违约责任。如果因为乙方的违约行为造成甲方的损失，应当承担下列责任：</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5.1 包括但不限于赔偿甲方的一切损失和额外费用支出：甲方支付的全部诉讼费用、律师费用、为处理此事所产生的其他费用、甲方因此所导致遭第三方的索赔费用和承担违约赔偿费用、甲方其他相关经济损失等。</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5.2 给甲方造成不良社会影响和商业信誉影响的，乙方还应当配合甲方消除不良影响，协助甲方追查、追回因乙方违约行为所流出的属于甲方的技术资料和商业信息或所有由甲方提供给乙方的技术资料和商业信息资料、产品及产品零配件等。无法消除不良影响的，或者无法追回、追查的，或者追回前甲方已经遭受损失的，甲方有权按本条第5.1款约定内容处理。</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第六条  争议的解决办法</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因执行本协议而发生纠纷，双方协商解决，协商不成，任何一方均应向甲方所在地人民法院提起诉讼。</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第七条  协议的效力和变更</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7.1 本协议一式三份，协议各方各执一份。各份协议文本具有同等法律效力。</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7.2 本协议经各方签署后生效。</w:t>
      </w:r>
    </w:p>
    <w:p>
      <w:pPr>
        <w:pStyle w:val="12"/>
        <w:spacing w:before="0" w:beforeAutospacing="0" w:after="0" w:line="570" w:lineRule="exact"/>
        <w:ind w:firstLine="3780" w:firstLineChars="1350"/>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签署时间：         年         月        日</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 甲方（盖章）：</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联系方式：</w:t>
      </w:r>
    </w:p>
    <w:p>
      <w:pPr>
        <w:pStyle w:val="12"/>
        <w:spacing w:before="0" w:beforeAutospacing="0" w:after="0" w:line="570" w:lineRule="exact"/>
        <w:contextualSpacing/>
        <w:jc w:val="both"/>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地址：</w:t>
      </w:r>
      <w:r>
        <w:rPr>
          <w:rFonts w:hint="default" w:ascii="Times New Roman" w:hAnsi="Times New Roman" w:eastAsia="仿宋_GB2312" w:cs="Times New Roman"/>
          <w:color w:val="auto"/>
          <w:sz w:val="28"/>
          <w:szCs w:val="28"/>
          <w:highlight w:val="none"/>
        </w:rPr>
        <w:br w:type="textWrapping"/>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乙方：</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联系方式：</w:t>
      </w:r>
    </w:p>
    <w:p>
      <w:pPr>
        <w:pStyle w:val="12"/>
        <w:spacing w:before="0" w:beforeAutospacing="0" w:after="0" w:line="570" w:lineRule="exact"/>
        <w:contextualSpacing/>
        <w:jc w:val="both"/>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w:t>
      </w:r>
    </w:p>
    <w:p>
      <w:pPr>
        <w:widowControl/>
        <w:jc w:val="left"/>
        <w:rPr>
          <w:rFonts w:ascii="Times New Roman" w:hAnsi="Times New Roman" w:eastAsia="方正小标宋简体" w:cs="Times New Roman"/>
          <w:color w:val="auto"/>
          <w:sz w:val="44"/>
          <w:szCs w:val="44"/>
          <w:highlight w:val="none"/>
        </w:rPr>
      </w:pPr>
      <w:bookmarkStart w:id="44" w:name="_Toc1301425"/>
      <w:bookmarkStart w:id="45" w:name="_Toc448516846"/>
      <w:r>
        <w:rPr>
          <w:rFonts w:ascii="Times New Roman" w:hAnsi="Times New Roman" w:eastAsia="方正小标宋简体" w:cs="Times New Roman"/>
          <w:color w:val="auto"/>
          <w:sz w:val="44"/>
          <w:szCs w:val="44"/>
          <w:highlight w:val="none"/>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color w:val="auto"/>
          <w:kern w:val="44"/>
          <w:sz w:val="44"/>
          <w:szCs w:val="44"/>
          <w:highlight w:val="none"/>
          <w:lang w:val="zh-CN"/>
        </w:rPr>
      </w:pPr>
      <w:bookmarkStart w:id="46" w:name="_Toc25153"/>
      <w:bookmarkStart w:id="47" w:name="_Toc38447194"/>
      <w:bookmarkStart w:id="48" w:name="_Toc14670"/>
      <w:r>
        <w:rPr>
          <w:rFonts w:hint="default" w:ascii="Times New Roman" w:hAnsi="Times New Roman" w:eastAsia="方正小标宋简体" w:cs="Times New Roman"/>
          <w:b/>
          <w:bCs/>
          <w:color w:val="auto"/>
          <w:kern w:val="44"/>
          <w:sz w:val="44"/>
          <w:szCs w:val="44"/>
          <w:highlight w:val="none"/>
          <w:lang w:val="zh-CN"/>
        </w:rPr>
        <w:t>比选申请文件格式</w:t>
      </w:r>
      <w:bookmarkEnd w:id="46"/>
      <w:bookmarkEnd w:id="47"/>
      <w:bookmarkEnd w:id="48"/>
    </w:p>
    <w:p>
      <w:pPr>
        <w:outlineLvl w:val="1"/>
        <w:rPr>
          <w:rFonts w:ascii="Times New Roman" w:hAnsi="Times New Roman" w:eastAsia="黑体" w:cs="Times New Roman"/>
          <w:color w:val="auto"/>
          <w:sz w:val="32"/>
          <w:szCs w:val="32"/>
          <w:highlight w:val="none"/>
        </w:rPr>
      </w:pPr>
      <w:bookmarkStart w:id="49" w:name="_Toc2850"/>
      <w:bookmarkStart w:id="50" w:name="_Toc27509"/>
      <w:bookmarkStart w:id="51" w:name="_Toc38447195"/>
      <w:r>
        <w:rPr>
          <w:rFonts w:hint="default" w:ascii="Times New Roman" w:hAnsi="Times New Roman" w:eastAsia="黑体" w:cs="Times New Roman"/>
          <w:color w:val="auto"/>
          <w:sz w:val="32"/>
          <w:szCs w:val="32"/>
          <w:highlight w:val="none"/>
        </w:rPr>
        <w:t>一、比选申请书格式</w:t>
      </w:r>
      <w:bookmarkEnd w:id="44"/>
      <w:bookmarkEnd w:id="45"/>
      <w:bookmarkEnd w:id="49"/>
      <w:bookmarkEnd w:id="50"/>
      <w:bookmarkEnd w:id="51"/>
    </w:p>
    <w:p>
      <w:pPr>
        <w:spacing w:line="570" w:lineRule="exact"/>
        <w:contextualSpacing/>
        <w:rPr>
          <w:rFonts w:ascii="Times New Roman" w:hAnsi="Times New Roman" w:eastAsia="仿宋_GB2312" w:cs="Times New Roman"/>
          <w:color w:val="auto"/>
          <w:sz w:val="28"/>
          <w:szCs w:val="28"/>
          <w:highlight w:val="none"/>
        </w:rPr>
      </w:pPr>
    </w:p>
    <w:p>
      <w:pPr>
        <w:spacing w:line="570" w:lineRule="exact"/>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四川交投物流有限公司：（比选人名称）</w:t>
      </w: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1、以下签字人作为</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（比选</w:t>
      </w:r>
      <w:r>
        <w:rPr>
          <w:rFonts w:ascii="Times New Roman" w:hAnsi="Times New Roman" w:eastAsia="仿宋_GB2312" w:cs="Times New Roman"/>
          <w:color w:val="auto"/>
          <w:sz w:val="24"/>
          <w:highlight w:val="none"/>
        </w:rPr>
        <w:t>申请人</w:t>
      </w:r>
      <w:r>
        <w:rPr>
          <w:rFonts w:hint="default" w:ascii="Times New Roman" w:hAnsi="Times New Roman" w:eastAsia="仿宋_GB2312" w:cs="Times New Roman"/>
          <w:color w:val="auto"/>
          <w:sz w:val="24"/>
          <w:highlight w:val="none"/>
        </w:rPr>
        <w:t>全称）</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合法行使其职责的代表参加四川交投物流有限公司“</w:t>
      </w:r>
      <w:r>
        <w:rPr>
          <w:rFonts w:ascii="Times New Roman" w:hAnsi="Times New Roman" w:eastAsia="仿宋_GB2312" w:cs="Times New Roman"/>
          <w:color w:val="auto"/>
          <w:sz w:val="24"/>
          <w:highlight w:val="none"/>
        </w:rPr>
        <w:t>E</w:t>
      </w:r>
      <w:r>
        <w:rPr>
          <w:rFonts w:hint="default" w:ascii="Times New Roman" w:hAnsi="Times New Roman" w:eastAsia="仿宋_GB2312" w:cs="Times New Roman"/>
          <w:color w:val="auto"/>
          <w:sz w:val="24"/>
          <w:highlight w:val="none"/>
        </w:rPr>
        <w:t>购网”电子商城平台福利专区建设项目比选。</w:t>
      </w: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2、经全面研究和完全理解了你方提供的比选文件及修改文件(如有时)后，我方愿意以总价（含税价）人民币（大写）</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拾</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万</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仟</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佰</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拾</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元（￥：</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元）报价。我方承诺严格按照合同约定实施和完成并移交比选人的相关材料。</w:t>
      </w: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3、除非另外达成协议并生效，你方的中选通知书和比选文件将成为约束双方的合同文件组成部分。</w:t>
      </w: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4、我方承诺将按照比选人的规定履行合同责任和义务，提交材料中的所有陈述和声明均是真实和准确的。</w:t>
      </w: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5、我方近三年无不良行为记录，未处于财产被接管、冻结、破产状态，未处于四川省行政区域内有关行政处罚期间。</w:t>
      </w: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6、如中选：⑴ 我方承诺在收到中选通知书后，在中选通知书规定的期限内与你方签订合同；⑵ 我方承诺在合同约定期限内完成开发及交付。</w:t>
      </w:r>
    </w:p>
    <w:p>
      <w:pPr>
        <w:spacing w:line="570" w:lineRule="exact"/>
        <w:ind w:firstLine="480" w:firstLineChars="200"/>
        <w:contextualSpacing/>
        <w:rPr>
          <w:rFonts w:ascii="Times New Roman" w:hAnsi="Times New Roman" w:eastAsia="仿宋_GB2312" w:cs="Times New Roman"/>
          <w:color w:val="auto"/>
          <w:sz w:val="24"/>
          <w:highlight w:val="none"/>
          <w:u w:val="single"/>
        </w:rPr>
      </w:pPr>
      <w:r>
        <w:rPr>
          <w:rFonts w:hint="default" w:ascii="Times New Roman" w:hAnsi="Times New Roman" w:eastAsia="仿宋_GB2312" w:cs="Times New Roman"/>
          <w:color w:val="auto"/>
          <w:sz w:val="24"/>
          <w:highlight w:val="none"/>
        </w:rPr>
        <w:t>7、其他承诺：</w:t>
      </w:r>
      <w:r>
        <w:rPr>
          <w:rFonts w:hint="default" w:ascii="Times New Roman" w:hAnsi="Times New Roman" w:eastAsia="仿宋_GB2312" w:cs="Times New Roman"/>
          <w:color w:val="auto"/>
          <w:sz w:val="24"/>
          <w:highlight w:val="none"/>
          <w:u w:val="single"/>
        </w:rPr>
        <w:t xml:space="preserve">                   </w:t>
      </w:r>
    </w:p>
    <w:p>
      <w:pPr>
        <w:spacing w:line="570" w:lineRule="exact"/>
        <w:ind w:firstLine="480" w:firstLineChars="200"/>
        <w:contextualSpacing/>
        <w:rPr>
          <w:rFonts w:ascii="Times New Roman" w:hAnsi="Times New Roman" w:eastAsia="仿宋_GB2312" w:cs="Times New Roman"/>
          <w:color w:val="auto"/>
          <w:sz w:val="24"/>
          <w:highlight w:val="none"/>
        </w:rPr>
      </w:pPr>
    </w:p>
    <w:p>
      <w:pPr>
        <w:spacing w:line="570" w:lineRule="exact"/>
        <w:ind w:firstLine="480" w:firstLineChars="200"/>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 xml:space="preserve">比选申请人：                 （盖单位章） </w:t>
      </w:r>
    </w:p>
    <w:p>
      <w:pPr>
        <w:spacing w:line="570" w:lineRule="exact"/>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 xml:space="preserve">法定代表人（或负责人或委托代理人）：         （签字） </w:t>
      </w:r>
    </w:p>
    <w:p>
      <w:pPr>
        <w:spacing w:line="570" w:lineRule="exact"/>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p>
    <w:p>
      <w:pPr>
        <w:spacing w:line="570" w:lineRule="exact"/>
        <w:contextualSpacing/>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 xml:space="preserve"> 年     月      日 </w:t>
      </w:r>
    </w:p>
    <w:p>
      <w:pPr>
        <w:widowControl/>
        <w:jc w:val="left"/>
        <w:rPr>
          <w:rFonts w:ascii="Times New Roman" w:hAnsi="Times New Roman" w:eastAsia="黑体" w:cs="Times New Roman"/>
          <w:color w:val="auto"/>
          <w:sz w:val="32"/>
          <w:szCs w:val="32"/>
          <w:highlight w:val="none"/>
        </w:rPr>
      </w:pPr>
    </w:p>
    <w:p>
      <w:pPr>
        <w:outlineLvl w:val="1"/>
        <w:rPr>
          <w:rFonts w:ascii="Times New Roman" w:hAnsi="Times New Roman" w:eastAsia="黑体" w:cs="Times New Roman"/>
          <w:color w:val="auto"/>
          <w:sz w:val="32"/>
          <w:szCs w:val="32"/>
          <w:highlight w:val="none"/>
        </w:rPr>
      </w:pPr>
      <w:bookmarkStart w:id="52" w:name="_Toc1889"/>
      <w:bookmarkStart w:id="53" w:name="_Toc17032"/>
      <w:bookmarkStart w:id="54" w:name="_Toc38447196"/>
      <w:r>
        <w:rPr>
          <w:rFonts w:hint="default" w:ascii="Times New Roman" w:hAnsi="Times New Roman" w:eastAsia="黑体" w:cs="Times New Roman"/>
          <w:color w:val="auto"/>
          <w:sz w:val="32"/>
          <w:szCs w:val="32"/>
          <w:highlight w:val="none"/>
        </w:rPr>
        <w:t>二、法定代表人授权书格</w:t>
      </w:r>
      <w:r>
        <w:rPr>
          <w:rFonts w:ascii="Times New Roman" w:hAnsi="Times New Roman" w:eastAsia="黑体" w:cs="Times New Roman"/>
          <w:color w:val="auto"/>
          <w:sz w:val="32"/>
          <w:szCs w:val="32"/>
          <w:highlight w:val="none"/>
        </w:rPr>
        <w:t>式</w:t>
      </w:r>
      <w:bookmarkEnd w:id="52"/>
      <w:bookmarkEnd w:id="53"/>
      <w:bookmarkEnd w:id="54"/>
    </w:p>
    <w:p>
      <w:pPr>
        <w:spacing w:line="300" w:lineRule="auto"/>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系</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的法定代表人/负责人，现委托本单位人员</w:t>
      </w:r>
      <w:r>
        <w:rPr>
          <w:rFonts w:hint="default" w:ascii="Times New Roman" w:hAnsi="Times New Roman" w:eastAsia="仿宋_GB2312" w:cs="Times New Roman"/>
          <w:color w:val="auto"/>
          <w:sz w:val="24"/>
          <w:highlight w:val="none"/>
          <w:u w:val="single"/>
        </w:rPr>
        <w:t>_______</w:t>
      </w:r>
      <w:r>
        <w:rPr>
          <w:rFonts w:hint="default" w:ascii="Times New Roman" w:hAnsi="Times New Roman" w:eastAsia="仿宋_GB2312" w:cs="Times New Roman"/>
          <w:color w:val="auto"/>
          <w:sz w:val="24"/>
          <w:highlight w:val="none"/>
        </w:rPr>
        <w:t>为我方代理人。代理人根据授权，以我方名义签署、澄清、说明、补正、递交、撤回、修改四川交投物流有限公司“</w:t>
      </w:r>
      <w:r>
        <w:rPr>
          <w:rFonts w:ascii="Times New Roman" w:hAnsi="Times New Roman" w:eastAsia="仿宋_GB2312" w:cs="Times New Roman"/>
          <w:color w:val="auto"/>
          <w:sz w:val="24"/>
          <w:highlight w:val="none"/>
        </w:rPr>
        <w:t>E</w:t>
      </w:r>
      <w:r>
        <w:rPr>
          <w:rFonts w:hint="default" w:ascii="Times New Roman" w:hAnsi="Times New Roman" w:eastAsia="仿宋_GB2312" w:cs="Times New Roman"/>
          <w:color w:val="auto"/>
          <w:sz w:val="24"/>
          <w:highlight w:val="none"/>
        </w:rPr>
        <w:t>购网”电子商城平台福利专区建设项目的比选申请文</w:t>
      </w:r>
      <w:r>
        <w:rPr>
          <w:rFonts w:ascii="Times New Roman" w:hAnsi="Times New Roman" w:eastAsia="仿宋_GB2312" w:cs="Times New Roman"/>
          <w:color w:val="auto"/>
          <w:sz w:val="24"/>
          <w:highlight w:val="none"/>
        </w:rPr>
        <w:t>件</w:t>
      </w:r>
      <w:r>
        <w:rPr>
          <w:rFonts w:hint="default" w:ascii="Times New Roman" w:hAnsi="Times New Roman" w:eastAsia="仿宋_GB2312" w:cs="Times New Roman"/>
          <w:color w:val="auto"/>
          <w:sz w:val="24"/>
          <w:highlight w:val="none"/>
        </w:rPr>
        <w:t>、签订合同和处理有关事宜（向有关行政监督部门投诉另行授权），其法律后果由我方承担。</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委托期限：自本授权委托书签署之日起至“比选申请人须知”规定的“比选有效期”结束为止。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代理人无转委托权。 </w:t>
      </w: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附：（1）“法定代表人（或负责人）身份证明”原件和法定代表人（或负责人）身份证复印件, 复印件上加盖单位公章；</w:t>
      </w: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（2）委托代理人身份证复印件，复印件上加盖单位公章。</w:t>
      </w:r>
    </w:p>
    <w:p>
      <w:pPr>
        <w:spacing w:line="300" w:lineRule="auto"/>
        <w:rPr>
          <w:rFonts w:ascii="Times New Roman" w:hAnsi="Times New Roman" w:eastAsia="仿宋_GB2312" w:cs="Times New Roman"/>
          <w:color w:val="auto"/>
          <w:sz w:val="24"/>
          <w:highlight w:val="none"/>
        </w:rPr>
      </w:pPr>
    </w:p>
    <w:p>
      <w:pPr>
        <w:spacing w:line="300" w:lineRule="auto"/>
        <w:rPr>
          <w:rFonts w:ascii="Times New Roman" w:hAnsi="Times New Roman" w:eastAsia="仿宋_GB2312" w:cs="Times New Roman"/>
          <w:color w:val="auto"/>
          <w:sz w:val="24"/>
          <w:highlight w:val="none"/>
        </w:rPr>
      </w:pP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比选申请人：                            （盖单位章） </w:t>
      </w: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法定代表人（或其委托代理人）：                       （签字） </w:t>
      </w:r>
      <w:r>
        <w:rPr>
          <w:rFonts w:hint="default" w:ascii="Times New Roman" w:hAnsi="Times New Roman" w:eastAsia="仿宋_GB2312" w:cs="Times New Roman"/>
          <w:color w:val="auto"/>
          <w:sz w:val="24"/>
          <w:highlight w:val="none"/>
        </w:rPr>
        <w:cr/>
      </w:r>
      <w:r>
        <w:rPr>
          <w:rFonts w:hint="default" w:ascii="Times New Roman" w:hAnsi="Times New Roman" w:eastAsia="仿宋_GB2312" w:cs="Times New Roman"/>
          <w:color w:val="auto"/>
          <w:sz w:val="24"/>
          <w:highlight w:val="none"/>
        </w:rPr>
        <w:t xml:space="preserve">                                        </w:t>
      </w:r>
      <w:r>
        <w:rPr>
          <w:rFonts w:ascii="Times New Roman" w:hAnsi="Times New Roman" w:eastAsia="仿宋_GB2312" w:cs="Times New Roman"/>
          <w:color w:val="auto"/>
          <w:sz w:val="24"/>
          <w:highlight w:val="none"/>
        </w:rPr>
        <w:t xml:space="preserve">       </w:t>
      </w:r>
    </w:p>
    <w:p>
      <w:pPr>
        <w:spacing w:line="300" w:lineRule="auto"/>
        <w:ind w:firstLine="5280" w:firstLineChars="2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年      月       日 </w:t>
      </w:r>
    </w:p>
    <w:p>
      <w:pPr>
        <w:spacing w:line="300" w:lineRule="auto"/>
        <w:ind w:firstLine="5280" w:firstLineChars="2200"/>
        <w:rPr>
          <w:rFonts w:ascii="Times New Roman" w:hAnsi="Times New Roman" w:eastAsia="仿宋_GB2312" w:cs="Times New Roman"/>
          <w:color w:val="auto"/>
          <w:sz w:val="24"/>
          <w:highlight w:val="none"/>
        </w:rPr>
      </w:pP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注：法定代表人（或负责人）不亲自申请而委托代理人申请适用  </w:t>
      </w:r>
    </w:p>
    <w:p>
      <w:pPr>
        <w:spacing w:line="570" w:lineRule="exact"/>
        <w:contextualSpacing/>
        <w:rPr>
          <w:rFonts w:ascii="Times New Roman" w:hAnsi="Times New Roman" w:eastAsia="仿宋_GB2312" w:cs="Times New Roman"/>
          <w:color w:val="auto"/>
          <w:sz w:val="28"/>
          <w:szCs w:val="28"/>
          <w:highlight w:val="none"/>
        </w:rPr>
      </w:pPr>
    </w:p>
    <w:p>
      <w:pPr>
        <w:spacing w:line="570" w:lineRule="exact"/>
        <w:contextualSpacing/>
        <w:rPr>
          <w:rFonts w:ascii="Times New Roman" w:hAnsi="Times New Roman" w:eastAsia="仿宋_GB2312" w:cs="Times New Roman"/>
          <w:color w:val="auto"/>
          <w:sz w:val="28"/>
          <w:szCs w:val="28"/>
          <w:highlight w:val="none"/>
        </w:rPr>
      </w:pPr>
    </w:p>
    <w:p>
      <w:pPr>
        <w:spacing w:line="570" w:lineRule="exact"/>
        <w:contextualSpacing/>
        <w:rPr>
          <w:rFonts w:ascii="Times New Roman" w:hAnsi="Times New Roman" w:eastAsia="仿宋_GB2312" w:cs="Times New Roman"/>
          <w:color w:val="auto"/>
          <w:sz w:val="28"/>
          <w:szCs w:val="28"/>
          <w:highlight w:val="none"/>
        </w:rPr>
      </w:pPr>
    </w:p>
    <w:p>
      <w:pPr>
        <w:spacing w:line="570" w:lineRule="exact"/>
        <w:contextualSpacing/>
        <w:rPr>
          <w:rFonts w:ascii="Times New Roman" w:hAnsi="Times New Roman" w:eastAsia="仿宋_GB2312" w:cs="Times New Roman"/>
          <w:color w:val="auto"/>
          <w:sz w:val="28"/>
          <w:szCs w:val="28"/>
          <w:highlight w:val="none"/>
        </w:rPr>
      </w:pPr>
    </w:p>
    <w:p>
      <w:pPr>
        <w:widowControl/>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bookmarkStart w:id="55" w:name="_Toc38447197"/>
      <w:bookmarkStart w:id="56" w:name="_Toc23153"/>
      <w:bookmarkStart w:id="57" w:name="_Toc12005"/>
      <w:r>
        <w:rPr>
          <w:rFonts w:hint="default" w:ascii="Times New Roman" w:hAnsi="Times New Roman" w:eastAsia="黑体" w:cs="Times New Roman"/>
          <w:color w:val="auto"/>
          <w:sz w:val="32"/>
          <w:szCs w:val="32"/>
          <w:highlight w:val="none"/>
        </w:rPr>
        <w:t>三、企业简介</w:t>
      </w:r>
      <w:bookmarkEnd w:id="55"/>
      <w:bookmarkEnd w:id="56"/>
      <w:bookmarkEnd w:id="57"/>
    </w:p>
    <w:p>
      <w:pPr>
        <w:widowControl/>
        <w:jc w:val="left"/>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含营业执照副本、资质证书副本等彩色扫描件等证明材料</w:t>
      </w:r>
    </w:p>
    <w:p>
      <w:pPr>
        <w:rPr>
          <w:rFonts w:ascii="Times New Roman" w:hAnsi="Times New Roman" w:eastAsia="仿宋_GB2312" w:cs="Times New Roman"/>
          <w:b/>
          <w:color w:val="auto"/>
          <w:sz w:val="28"/>
          <w:szCs w:val="28"/>
          <w:highlight w:val="none"/>
        </w:rPr>
      </w:pPr>
    </w:p>
    <w:p>
      <w:pPr>
        <w:widowControl/>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bookmarkStart w:id="58" w:name="_Toc38447198"/>
      <w:bookmarkStart w:id="59" w:name="_Toc9853"/>
      <w:bookmarkStart w:id="60" w:name="_Toc17542"/>
      <w:r>
        <w:rPr>
          <w:rFonts w:hint="default" w:ascii="Times New Roman" w:hAnsi="Times New Roman" w:eastAsia="黑体" w:cs="Times New Roman"/>
          <w:color w:val="auto"/>
          <w:sz w:val="32"/>
          <w:szCs w:val="32"/>
          <w:highlight w:val="none"/>
        </w:rPr>
        <w:t>四、实施方案</w:t>
      </w:r>
      <w:bookmarkEnd w:id="58"/>
      <w:bookmarkEnd w:id="59"/>
      <w:bookmarkEnd w:id="60"/>
    </w:p>
    <w:p>
      <w:pPr>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包含系统架构、功能说明、实施进度及控制措施、质量控制措施、运维措施、协助运营方案等</w:t>
      </w:r>
    </w:p>
    <w:p>
      <w:pPr>
        <w:widowControl/>
        <w:jc w:val="left"/>
        <w:rPr>
          <w:rFonts w:ascii="Times New Roman" w:hAnsi="Times New Roman" w:eastAsia="仿宋_GB2312" w:cs="Times New Roman"/>
          <w:b/>
          <w:color w:val="auto"/>
          <w:sz w:val="28"/>
          <w:szCs w:val="28"/>
          <w:highlight w:val="none"/>
        </w:rPr>
      </w:pPr>
    </w:p>
    <w:p>
      <w:pPr>
        <w:widowControl/>
        <w:jc w:val="left"/>
        <w:rPr>
          <w:rFonts w:ascii="Times New Roman" w:hAnsi="Times New Roman" w:eastAsia="仿宋_GB2312" w:cs="Times New Roman"/>
          <w:b/>
          <w:color w:val="auto"/>
          <w:sz w:val="28"/>
          <w:szCs w:val="28"/>
          <w:highlight w:val="none"/>
        </w:rPr>
      </w:pPr>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五、项目小组构成及成员基本情况</w:t>
      </w:r>
    </w:p>
    <w:p>
      <w:pPr>
        <w:spacing w:line="360" w:lineRule="auto"/>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一、项目负责人及项目主要参与人员基本情况</w:t>
      </w:r>
    </w:p>
    <w:tbl>
      <w:tblPr>
        <w:tblStyle w:val="17"/>
        <w:tblW w:w="928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1022"/>
        <w:gridCol w:w="2821"/>
        <w:gridCol w:w="2021"/>
        <w:gridCol w:w="2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248" w:type="dxa"/>
            <w:vAlign w:val="center"/>
          </w:tcPr>
          <w:p>
            <w:pPr>
              <w:snapToGrid w:val="0"/>
              <w:ind w:left="-57" w:right="-57"/>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1022" w:type="dxa"/>
            <w:vAlign w:val="center"/>
          </w:tcPr>
          <w:p>
            <w:pPr>
              <w:snapToGrid w:val="0"/>
              <w:ind w:left="-57" w:right="-57"/>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年龄</w:t>
            </w:r>
          </w:p>
        </w:tc>
        <w:tc>
          <w:tcPr>
            <w:tcW w:w="2821" w:type="dxa"/>
            <w:vAlign w:val="center"/>
          </w:tcPr>
          <w:p>
            <w:pPr>
              <w:snapToGrid w:val="0"/>
              <w:ind w:left="-57" w:right="-57"/>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类似工作</w:t>
            </w:r>
          </w:p>
          <w:p>
            <w:pPr>
              <w:snapToGrid w:val="0"/>
              <w:ind w:left="-57" w:right="-57"/>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经验年限</w:t>
            </w:r>
          </w:p>
        </w:tc>
        <w:tc>
          <w:tcPr>
            <w:tcW w:w="2021" w:type="dxa"/>
            <w:vAlign w:val="center"/>
          </w:tcPr>
          <w:p>
            <w:pPr>
              <w:snapToGrid w:val="0"/>
              <w:ind w:left="-57" w:right="-57"/>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拟任职务</w:t>
            </w:r>
          </w:p>
        </w:tc>
        <w:tc>
          <w:tcPr>
            <w:tcW w:w="2175" w:type="dxa"/>
            <w:vAlign w:val="center"/>
          </w:tcPr>
          <w:p>
            <w:pPr>
              <w:snapToGrid w:val="0"/>
              <w:ind w:left="-57" w:right="-57"/>
              <w:jc w:val="center"/>
              <w:rPr>
                <w:rFonts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248" w:type="dxa"/>
            <w:vAlign w:val="center"/>
          </w:tcPr>
          <w:p>
            <w:pPr>
              <w:snapToGrid w:val="0"/>
              <w:ind w:left="-57" w:right="-57"/>
              <w:jc w:val="center"/>
              <w:rPr>
                <w:rFonts w:ascii="Times New Roman" w:hAnsi="Times New Roman" w:eastAsia="仿宋_GB2312" w:cs="Times New Roman"/>
                <w:color w:val="auto"/>
                <w:kern w:val="0"/>
                <w:sz w:val="24"/>
                <w:highlight w:val="none"/>
              </w:rPr>
            </w:pPr>
          </w:p>
          <w:p>
            <w:pPr>
              <w:snapToGrid w:val="0"/>
              <w:ind w:left="-57" w:right="-57"/>
              <w:jc w:val="center"/>
              <w:rPr>
                <w:rFonts w:ascii="Times New Roman" w:hAnsi="Times New Roman" w:eastAsia="仿宋_GB2312" w:cs="Times New Roman"/>
                <w:color w:val="auto"/>
                <w:kern w:val="0"/>
                <w:sz w:val="24"/>
                <w:highlight w:val="none"/>
              </w:rPr>
            </w:pPr>
          </w:p>
        </w:tc>
        <w:tc>
          <w:tcPr>
            <w:tcW w:w="1022" w:type="dxa"/>
            <w:vAlign w:val="center"/>
          </w:tcPr>
          <w:p>
            <w:pPr>
              <w:snapToGrid w:val="0"/>
              <w:ind w:left="-57" w:right="-57"/>
              <w:jc w:val="center"/>
              <w:rPr>
                <w:rFonts w:ascii="Times New Roman" w:hAnsi="Times New Roman" w:eastAsia="仿宋_GB2312" w:cs="Times New Roman"/>
                <w:color w:val="auto"/>
                <w:kern w:val="0"/>
                <w:sz w:val="24"/>
                <w:highlight w:val="none"/>
              </w:rPr>
            </w:pPr>
          </w:p>
        </w:tc>
        <w:tc>
          <w:tcPr>
            <w:tcW w:w="2821" w:type="dxa"/>
            <w:vAlign w:val="center"/>
          </w:tcPr>
          <w:p>
            <w:pPr>
              <w:snapToGrid w:val="0"/>
              <w:ind w:left="-57" w:right="-57"/>
              <w:jc w:val="center"/>
              <w:rPr>
                <w:rFonts w:ascii="Times New Roman" w:hAnsi="Times New Roman" w:eastAsia="仿宋_GB2312" w:cs="Times New Roman"/>
                <w:color w:val="auto"/>
                <w:kern w:val="0"/>
                <w:sz w:val="24"/>
                <w:highlight w:val="none"/>
              </w:rPr>
            </w:pPr>
          </w:p>
        </w:tc>
        <w:tc>
          <w:tcPr>
            <w:tcW w:w="2021" w:type="dxa"/>
            <w:vAlign w:val="center"/>
          </w:tcPr>
          <w:p>
            <w:pPr>
              <w:snapToGrid w:val="0"/>
              <w:ind w:left="-57" w:right="-57"/>
              <w:jc w:val="center"/>
              <w:rPr>
                <w:rFonts w:ascii="Times New Roman" w:hAnsi="Times New Roman" w:eastAsia="仿宋_GB2312" w:cs="Times New Roman"/>
                <w:color w:val="auto"/>
                <w:kern w:val="0"/>
                <w:sz w:val="24"/>
                <w:highlight w:val="none"/>
              </w:rPr>
            </w:pPr>
          </w:p>
        </w:tc>
        <w:tc>
          <w:tcPr>
            <w:tcW w:w="2175" w:type="dxa"/>
          </w:tcPr>
          <w:p>
            <w:pPr>
              <w:snapToGrid w:val="0"/>
              <w:ind w:left="-57" w:right="-57"/>
              <w:jc w:val="center"/>
              <w:rPr>
                <w:rFonts w:ascii="Times New Roman" w:hAnsi="Times New Roman" w:eastAsia="仿宋_GB2312" w:cs="Times New Roman"/>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4" w:hRule="atLeast"/>
        </w:trPr>
        <w:tc>
          <w:tcPr>
            <w:tcW w:w="1248" w:type="dxa"/>
            <w:vAlign w:val="center"/>
          </w:tcPr>
          <w:p>
            <w:pPr>
              <w:snapToGrid w:val="0"/>
              <w:ind w:left="-57" w:right="-57"/>
              <w:jc w:val="center"/>
              <w:rPr>
                <w:rFonts w:ascii="Times New Roman" w:hAnsi="Times New Roman" w:eastAsia="仿宋_GB2312" w:cs="Times New Roman"/>
                <w:color w:val="auto"/>
                <w:kern w:val="0"/>
                <w:sz w:val="24"/>
                <w:highlight w:val="none"/>
              </w:rPr>
            </w:pPr>
          </w:p>
          <w:p>
            <w:pPr>
              <w:snapToGrid w:val="0"/>
              <w:ind w:left="-57" w:right="-57"/>
              <w:jc w:val="center"/>
              <w:rPr>
                <w:rFonts w:ascii="Times New Roman" w:hAnsi="Times New Roman" w:eastAsia="仿宋_GB2312" w:cs="Times New Roman"/>
                <w:color w:val="auto"/>
                <w:kern w:val="0"/>
                <w:sz w:val="24"/>
                <w:highlight w:val="none"/>
              </w:rPr>
            </w:pPr>
          </w:p>
        </w:tc>
        <w:tc>
          <w:tcPr>
            <w:tcW w:w="1022" w:type="dxa"/>
            <w:vAlign w:val="center"/>
          </w:tcPr>
          <w:p>
            <w:pPr>
              <w:snapToGrid w:val="0"/>
              <w:ind w:left="-57" w:right="-57"/>
              <w:jc w:val="center"/>
              <w:rPr>
                <w:rFonts w:ascii="Times New Roman" w:hAnsi="Times New Roman" w:eastAsia="仿宋_GB2312" w:cs="Times New Roman"/>
                <w:color w:val="auto"/>
                <w:kern w:val="0"/>
                <w:sz w:val="24"/>
                <w:highlight w:val="none"/>
              </w:rPr>
            </w:pPr>
          </w:p>
        </w:tc>
        <w:tc>
          <w:tcPr>
            <w:tcW w:w="2821" w:type="dxa"/>
            <w:vAlign w:val="center"/>
          </w:tcPr>
          <w:p>
            <w:pPr>
              <w:snapToGrid w:val="0"/>
              <w:ind w:left="-57" w:right="-57"/>
              <w:jc w:val="center"/>
              <w:rPr>
                <w:rFonts w:ascii="Times New Roman" w:hAnsi="Times New Roman" w:eastAsia="仿宋_GB2312" w:cs="Times New Roman"/>
                <w:color w:val="auto"/>
                <w:kern w:val="0"/>
                <w:sz w:val="24"/>
                <w:highlight w:val="none"/>
              </w:rPr>
            </w:pPr>
          </w:p>
        </w:tc>
        <w:tc>
          <w:tcPr>
            <w:tcW w:w="2021" w:type="dxa"/>
            <w:vAlign w:val="center"/>
          </w:tcPr>
          <w:p>
            <w:pPr>
              <w:snapToGrid w:val="0"/>
              <w:ind w:left="-57" w:right="-57"/>
              <w:jc w:val="center"/>
              <w:rPr>
                <w:rFonts w:ascii="Times New Roman" w:hAnsi="Times New Roman" w:eastAsia="仿宋_GB2312" w:cs="Times New Roman"/>
                <w:color w:val="auto"/>
                <w:kern w:val="0"/>
                <w:sz w:val="24"/>
                <w:highlight w:val="none"/>
              </w:rPr>
            </w:pPr>
          </w:p>
        </w:tc>
        <w:tc>
          <w:tcPr>
            <w:tcW w:w="2175" w:type="dxa"/>
          </w:tcPr>
          <w:p>
            <w:pPr>
              <w:snapToGrid w:val="0"/>
              <w:ind w:left="-57" w:right="-57"/>
              <w:jc w:val="center"/>
              <w:rPr>
                <w:rFonts w:ascii="Times New Roman" w:hAnsi="Times New Roman" w:eastAsia="仿宋_GB2312" w:cs="Times New Roman"/>
                <w:color w:val="auto"/>
                <w:kern w:val="0"/>
                <w:sz w:val="24"/>
                <w:highlight w:val="none"/>
              </w:rPr>
            </w:pPr>
          </w:p>
        </w:tc>
      </w:tr>
    </w:tbl>
    <w:p>
      <w:pPr>
        <w:spacing w:line="570" w:lineRule="exact"/>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比选申请人（法人公章）</w:t>
      </w: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法定代表人或授权委托人（签字或盖章）：</w:t>
      </w:r>
    </w:p>
    <w:p>
      <w:pPr>
        <w:widowControl/>
        <w:jc w:val="left"/>
        <w:rPr>
          <w:rFonts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24"/>
          <w:highlight w:val="none"/>
        </w:rPr>
        <w:t>日    期：</w:t>
      </w:r>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bookmarkStart w:id="61" w:name="_Toc5766"/>
      <w:bookmarkStart w:id="62" w:name="_Toc38447200"/>
      <w:bookmarkStart w:id="63" w:name="_Toc25807"/>
      <w:r>
        <w:rPr>
          <w:rFonts w:hint="default" w:ascii="Times New Roman" w:hAnsi="Times New Roman" w:eastAsia="黑体" w:cs="Times New Roman"/>
          <w:color w:val="auto"/>
          <w:sz w:val="32"/>
          <w:szCs w:val="32"/>
          <w:highlight w:val="none"/>
        </w:rPr>
        <w:t>六、报价函</w:t>
      </w:r>
      <w:bookmarkEnd w:id="61"/>
      <w:bookmarkEnd w:id="62"/>
      <w:bookmarkEnd w:id="63"/>
    </w:p>
    <w:p>
      <w:pPr>
        <w:spacing w:line="400" w:lineRule="atLeast"/>
        <w:ind w:firstLine="1260" w:firstLineChars="450"/>
        <w:rPr>
          <w:rFonts w:ascii="Times New Roman" w:hAnsi="Times New Roman" w:eastAsia="仿宋_GB2312" w:cs="Times New Roman"/>
          <w:color w:val="auto"/>
          <w:sz w:val="28"/>
          <w:szCs w:val="28"/>
          <w:highlight w:val="none"/>
        </w:rPr>
      </w:pPr>
      <w:bookmarkStart w:id="64" w:name="OLE_LINK1"/>
      <w:bookmarkStart w:id="65" w:name="OLE_LINK2"/>
    </w:p>
    <w:p>
      <w:pPr>
        <w:spacing w:line="300" w:lineRule="auto"/>
        <w:ind w:firstLine="3960" w:firstLineChars="165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报价函</w:t>
      </w:r>
    </w:p>
    <w:p>
      <w:pPr>
        <w:spacing w:line="300" w:lineRule="auto"/>
        <w:rPr>
          <w:rFonts w:ascii="Times New Roman" w:hAnsi="Times New Roman" w:eastAsia="仿宋_GB2312" w:cs="Times New Roman"/>
          <w:color w:val="auto"/>
          <w:sz w:val="24"/>
          <w:highlight w:val="none"/>
        </w:rPr>
      </w:pPr>
    </w:p>
    <w:p>
      <w:pPr>
        <w:spacing w:line="300" w:lineRule="auto"/>
        <w:rPr>
          <w:rFonts w:ascii="Times New Roman" w:hAnsi="Times New Roman" w:eastAsia="仿宋_GB2312" w:cs="Times New Roman"/>
          <w:color w:val="auto"/>
          <w:sz w:val="24"/>
          <w:highlight w:val="none"/>
        </w:rPr>
      </w:pP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四川交投物流有限公司:</w:t>
      </w: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经研究四川交投物流有限公司“</w:t>
      </w:r>
      <w:r>
        <w:rPr>
          <w:rFonts w:ascii="Times New Roman" w:hAnsi="Times New Roman" w:eastAsia="仿宋_GB2312" w:cs="Times New Roman"/>
          <w:color w:val="auto"/>
          <w:sz w:val="24"/>
          <w:highlight w:val="none"/>
        </w:rPr>
        <w:t>E</w:t>
      </w:r>
      <w:r>
        <w:rPr>
          <w:rFonts w:hint="default" w:ascii="Times New Roman" w:hAnsi="Times New Roman" w:eastAsia="仿宋_GB2312" w:cs="Times New Roman"/>
          <w:color w:val="auto"/>
          <w:sz w:val="24"/>
          <w:highlight w:val="none"/>
        </w:rPr>
        <w:t>购网”电子商城平台福利专区软件开发项目比选文件及其有关</w:t>
      </w:r>
      <w:bookmarkEnd w:id="64"/>
      <w:bookmarkEnd w:id="65"/>
      <w:r>
        <w:rPr>
          <w:rFonts w:hint="default" w:ascii="Times New Roman" w:hAnsi="Times New Roman" w:eastAsia="仿宋_GB2312" w:cs="Times New Roman"/>
          <w:color w:val="auto"/>
          <w:sz w:val="24"/>
          <w:highlight w:val="none"/>
        </w:rPr>
        <w:t>文件后，我方就上述任务及相关服务提出比选申请。</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我公司平台福利专区开发及建设费用报价为（大写）_______元（小写：_______元，为含税价）人民币。</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如果我公司中选，我公司保证在合同协议书所规定的时间内按质量要求完成项目服务。</w:t>
      </w:r>
    </w:p>
    <w:p>
      <w:pPr>
        <w:spacing w:line="300" w:lineRule="auto"/>
        <w:ind w:firstLine="480" w:firstLineChars="200"/>
        <w:jc w:val="left"/>
        <w:rPr>
          <w:rFonts w:ascii="Times New Roman" w:hAnsi="Times New Roman" w:eastAsia="仿宋_GB2312" w:cs="Times New Roman"/>
          <w:color w:val="auto"/>
          <w:sz w:val="24"/>
          <w:highlight w:val="none"/>
        </w:rPr>
      </w:pPr>
    </w:p>
    <w:p>
      <w:pPr>
        <w:spacing w:line="300" w:lineRule="auto"/>
        <w:ind w:firstLine="480" w:firstLineChars="200"/>
        <w:jc w:val="left"/>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w:t>
      </w:r>
      <w:r>
        <w:rPr>
          <w:rFonts w:ascii="Times New Roman" w:hAnsi="Times New Roman" w:eastAsia="仿宋_GB2312" w:cs="Times New Roman"/>
          <w:color w:val="auto"/>
          <w:sz w:val="24"/>
          <w:highlight w:val="none"/>
        </w:rPr>
        <w:t>申请</w:t>
      </w:r>
      <w:r>
        <w:rPr>
          <w:rFonts w:hint="default" w:ascii="Times New Roman" w:hAnsi="Times New Roman" w:eastAsia="仿宋_GB2312" w:cs="Times New Roman"/>
          <w:color w:val="auto"/>
          <w:sz w:val="24"/>
          <w:highlight w:val="none"/>
        </w:rPr>
        <w:t>人： （全称）     （盖章）</w:t>
      </w:r>
    </w:p>
    <w:p>
      <w:pPr>
        <w:spacing w:line="300" w:lineRule="auto"/>
        <w:ind w:firstLine="480" w:firstLineChars="200"/>
        <w:jc w:val="left"/>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法定代表人或其授权的代理人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（签字）</w:t>
      </w: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日期：______年___月___日</w:t>
      </w:r>
    </w:p>
    <w:p>
      <w:pP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br w:type="page"/>
      </w:r>
    </w:p>
    <w:p>
      <w:pPr>
        <w:outlineLvl w:val="1"/>
        <w:rPr>
          <w:rFonts w:ascii="Times New Roman" w:hAnsi="Times New Roman" w:eastAsia="黑体" w:cs="Times New Roman"/>
          <w:color w:val="auto"/>
          <w:sz w:val="32"/>
          <w:szCs w:val="32"/>
          <w:highlight w:val="none"/>
        </w:rPr>
      </w:pPr>
      <w:bookmarkStart w:id="66" w:name="_Toc31081"/>
      <w:bookmarkStart w:id="67" w:name="_Toc2946"/>
      <w:bookmarkStart w:id="68" w:name="_Toc38447201"/>
      <w:r>
        <w:rPr>
          <w:rFonts w:hint="default" w:ascii="Times New Roman" w:hAnsi="Times New Roman" w:eastAsia="黑体" w:cs="Times New Roman"/>
          <w:color w:val="auto"/>
          <w:sz w:val="32"/>
          <w:szCs w:val="32"/>
          <w:highlight w:val="none"/>
        </w:rPr>
        <w:t>七、报价明</w:t>
      </w:r>
      <w:r>
        <w:rPr>
          <w:rFonts w:ascii="Times New Roman" w:hAnsi="Times New Roman" w:eastAsia="黑体" w:cs="Times New Roman"/>
          <w:color w:val="auto"/>
          <w:sz w:val="32"/>
          <w:szCs w:val="32"/>
          <w:highlight w:val="none"/>
        </w:rPr>
        <w:t>细</w:t>
      </w:r>
      <w:r>
        <w:rPr>
          <w:rFonts w:hint="default" w:ascii="Times New Roman" w:hAnsi="Times New Roman" w:eastAsia="黑体" w:cs="Times New Roman"/>
          <w:color w:val="auto"/>
          <w:sz w:val="32"/>
          <w:szCs w:val="32"/>
          <w:highlight w:val="none"/>
        </w:rPr>
        <w:t>表</w:t>
      </w:r>
      <w:bookmarkEnd w:id="66"/>
      <w:bookmarkEnd w:id="67"/>
      <w:bookmarkEnd w:id="68"/>
    </w:p>
    <w:p>
      <w:pPr>
        <w:rPr>
          <w:rFonts w:ascii="Times New Roman" w:hAnsi="Times New Roman" w:eastAsia="仿宋_GB2312" w:cs="Times New Roman"/>
          <w:b/>
          <w:color w:val="auto"/>
          <w:sz w:val="28"/>
          <w:szCs w:val="28"/>
          <w:highlight w:val="none"/>
        </w:rPr>
      </w:pPr>
    </w:p>
    <w:tbl>
      <w:tblPr>
        <w:tblStyle w:val="17"/>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38"/>
        <w:gridCol w:w="2142"/>
        <w:gridCol w:w="1009"/>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726" w:type="dxa"/>
            <w:vAlign w:val="center"/>
          </w:tcPr>
          <w:p>
            <w:pPr>
              <w:pStyle w:val="20"/>
              <w:spacing w:line="300" w:lineRule="auto"/>
              <w:rPr>
                <w:rFonts w:ascii="Times New Roman" w:hAnsi="Times New Roman" w:eastAsia="仿宋"/>
                <w:color w:val="auto"/>
                <w:szCs w:val="24"/>
                <w:highlight w:val="none"/>
              </w:rPr>
            </w:pPr>
            <w:r>
              <w:rPr>
                <w:rFonts w:hint="default" w:ascii="Times New Roman" w:hAnsi="Times New Roman" w:eastAsia="仿宋"/>
                <w:color w:val="auto"/>
                <w:szCs w:val="24"/>
                <w:highlight w:val="none"/>
              </w:rPr>
              <w:t>序号</w:t>
            </w:r>
          </w:p>
        </w:tc>
        <w:tc>
          <w:tcPr>
            <w:tcW w:w="1638" w:type="dxa"/>
            <w:vAlign w:val="center"/>
          </w:tcPr>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功能/服务模块</w:t>
            </w:r>
          </w:p>
        </w:tc>
        <w:tc>
          <w:tcPr>
            <w:tcW w:w="2142" w:type="dxa"/>
            <w:vAlign w:val="center"/>
          </w:tcPr>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功能描述</w:t>
            </w:r>
          </w:p>
        </w:tc>
        <w:tc>
          <w:tcPr>
            <w:tcW w:w="1009" w:type="dxa"/>
            <w:vAlign w:val="center"/>
          </w:tcPr>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数量</w:t>
            </w:r>
          </w:p>
        </w:tc>
        <w:tc>
          <w:tcPr>
            <w:tcW w:w="1386" w:type="dxa"/>
            <w:vAlign w:val="center"/>
          </w:tcPr>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单价</w:t>
            </w:r>
          </w:p>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（人民币元</w:t>
            </w:r>
          </w:p>
        </w:tc>
        <w:tc>
          <w:tcPr>
            <w:tcW w:w="1386" w:type="dxa"/>
            <w:vAlign w:val="center"/>
          </w:tcPr>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总价</w:t>
            </w:r>
          </w:p>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1638" w:type="dxa"/>
            <w:vAlign w:val="center"/>
          </w:tcPr>
          <w:p>
            <w:pPr>
              <w:spacing w:line="300" w:lineRule="auto"/>
              <w:rPr>
                <w:rFonts w:ascii="Times New Roman" w:hAnsi="Times New Roman" w:eastAsia="仿宋" w:cs="Times New Roman"/>
                <w:color w:val="auto"/>
                <w:sz w:val="24"/>
                <w:highlight w:val="none"/>
              </w:rPr>
            </w:pPr>
          </w:p>
        </w:tc>
        <w:tc>
          <w:tcPr>
            <w:tcW w:w="2142" w:type="dxa"/>
            <w:vAlign w:val="center"/>
          </w:tcPr>
          <w:p>
            <w:pPr>
              <w:spacing w:line="300" w:lineRule="auto"/>
              <w:jc w:val="center"/>
              <w:rPr>
                <w:rFonts w:ascii="Times New Roman" w:hAnsi="Times New Roman" w:eastAsia="仿宋" w:cs="Times New Roman"/>
                <w:color w:val="auto"/>
                <w:sz w:val="24"/>
                <w:highlight w:val="none"/>
              </w:rPr>
            </w:pPr>
          </w:p>
        </w:tc>
        <w:tc>
          <w:tcPr>
            <w:tcW w:w="1009"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1638" w:type="dxa"/>
            <w:vAlign w:val="center"/>
          </w:tcPr>
          <w:p>
            <w:pPr>
              <w:spacing w:line="300" w:lineRule="auto"/>
              <w:rPr>
                <w:rFonts w:ascii="Times New Roman" w:hAnsi="Times New Roman" w:eastAsia="仿宋" w:cs="Times New Roman"/>
                <w:color w:val="auto"/>
                <w:sz w:val="24"/>
                <w:highlight w:val="none"/>
              </w:rPr>
            </w:pPr>
          </w:p>
        </w:tc>
        <w:tc>
          <w:tcPr>
            <w:tcW w:w="2142" w:type="dxa"/>
            <w:vAlign w:val="center"/>
          </w:tcPr>
          <w:p>
            <w:pPr>
              <w:pStyle w:val="20"/>
              <w:spacing w:line="300" w:lineRule="auto"/>
              <w:rPr>
                <w:rFonts w:ascii="Times New Roman" w:hAnsi="Times New Roman" w:eastAsia="仿宋"/>
                <w:color w:val="auto"/>
                <w:szCs w:val="24"/>
                <w:highlight w:val="none"/>
              </w:rPr>
            </w:pPr>
          </w:p>
        </w:tc>
        <w:tc>
          <w:tcPr>
            <w:tcW w:w="1009"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1638" w:type="dxa"/>
            <w:vAlign w:val="center"/>
          </w:tcPr>
          <w:p>
            <w:pPr>
              <w:spacing w:line="300" w:lineRule="auto"/>
              <w:rPr>
                <w:rFonts w:ascii="Times New Roman" w:hAnsi="Times New Roman" w:eastAsia="仿宋" w:cs="Times New Roman"/>
                <w:color w:val="auto"/>
                <w:sz w:val="24"/>
                <w:highlight w:val="none"/>
              </w:rPr>
            </w:pPr>
          </w:p>
        </w:tc>
        <w:tc>
          <w:tcPr>
            <w:tcW w:w="2142" w:type="dxa"/>
            <w:vAlign w:val="center"/>
          </w:tcPr>
          <w:p>
            <w:pPr>
              <w:spacing w:line="300" w:lineRule="auto"/>
              <w:jc w:val="center"/>
              <w:rPr>
                <w:rFonts w:ascii="Times New Roman" w:hAnsi="Times New Roman" w:eastAsia="仿宋" w:cs="Times New Roman"/>
                <w:color w:val="auto"/>
                <w:sz w:val="24"/>
                <w:highlight w:val="none"/>
              </w:rPr>
            </w:pPr>
          </w:p>
        </w:tc>
        <w:tc>
          <w:tcPr>
            <w:tcW w:w="1009"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1638" w:type="dxa"/>
            <w:vAlign w:val="center"/>
          </w:tcPr>
          <w:p>
            <w:pPr>
              <w:spacing w:line="300" w:lineRule="auto"/>
              <w:rPr>
                <w:rFonts w:ascii="Times New Roman" w:hAnsi="Times New Roman" w:eastAsia="仿宋" w:cs="Times New Roman"/>
                <w:color w:val="auto"/>
                <w:sz w:val="24"/>
                <w:highlight w:val="none"/>
              </w:rPr>
            </w:pPr>
          </w:p>
        </w:tc>
        <w:tc>
          <w:tcPr>
            <w:tcW w:w="2142" w:type="dxa"/>
            <w:vAlign w:val="center"/>
          </w:tcPr>
          <w:p>
            <w:pPr>
              <w:spacing w:line="300" w:lineRule="auto"/>
              <w:jc w:val="center"/>
              <w:rPr>
                <w:rFonts w:ascii="Times New Roman" w:hAnsi="Times New Roman" w:eastAsia="仿宋" w:cs="Times New Roman"/>
                <w:color w:val="auto"/>
                <w:sz w:val="24"/>
                <w:highlight w:val="none"/>
              </w:rPr>
            </w:pPr>
          </w:p>
        </w:tc>
        <w:tc>
          <w:tcPr>
            <w:tcW w:w="1009"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1638" w:type="dxa"/>
            <w:vAlign w:val="center"/>
          </w:tcPr>
          <w:p>
            <w:pPr>
              <w:spacing w:line="300" w:lineRule="auto"/>
              <w:rPr>
                <w:rFonts w:ascii="Times New Roman" w:hAnsi="Times New Roman" w:eastAsia="仿宋" w:cs="Times New Roman"/>
                <w:color w:val="auto"/>
                <w:sz w:val="24"/>
                <w:highlight w:val="none"/>
              </w:rPr>
            </w:pPr>
          </w:p>
        </w:tc>
        <w:tc>
          <w:tcPr>
            <w:tcW w:w="2142" w:type="dxa"/>
            <w:vAlign w:val="center"/>
          </w:tcPr>
          <w:p>
            <w:pPr>
              <w:spacing w:line="300" w:lineRule="auto"/>
              <w:jc w:val="center"/>
              <w:rPr>
                <w:rFonts w:ascii="Times New Roman" w:hAnsi="Times New Roman" w:eastAsia="仿宋" w:cs="Times New Roman"/>
                <w:color w:val="auto"/>
                <w:sz w:val="24"/>
                <w:highlight w:val="none"/>
              </w:rPr>
            </w:pPr>
          </w:p>
        </w:tc>
        <w:tc>
          <w:tcPr>
            <w:tcW w:w="1009"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1638" w:type="dxa"/>
            <w:vAlign w:val="center"/>
          </w:tcPr>
          <w:p>
            <w:pPr>
              <w:spacing w:line="300" w:lineRule="auto"/>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w:t>
            </w:r>
          </w:p>
        </w:tc>
        <w:tc>
          <w:tcPr>
            <w:tcW w:w="2142" w:type="dxa"/>
            <w:vAlign w:val="center"/>
          </w:tcPr>
          <w:p>
            <w:pPr>
              <w:spacing w:line="300" w:lineRule="auto"/>
              <w:jc w:val="center"/>
              <w:rPr>
                <w:rFonts w:ascii="Times New Roman" w:hAnsi="Times New Roman" w:eastAsia="仿宋" w:cs="Times New Roman"/>
                <w:color w:val="auto"/>
                <w:sz w:val="24"/>
                <w:highlight w:val="none"/>
              </w:rPr>
            </w:pPr>
          </w:p>
        </w:tc>
        <w:tc>
          <w:tcPr>
            <w:tcW w:w="1009"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726" w:type="dxa"/>
            <w:vAlign w:val="center"/>
          </w:tcPr>
          <w:p>
            <w:pPr>
              <w:numPr>
                <w:ilvl w:val="0"/>
                <w:numId w:val="6"/>
              </w:numPr>
              <w:spacing w:line="300" w:lineRule="auto"/>
              <w:jc w:val="center"/>
              <w:rPr>
                <w:rFonts w:ascii="Times New Roman" w:hAnsi="Times New Roman" w:eastAsia="仿宋" w:cs="Times New Roman"/>
                <w:color w:val="auto"/>
                <w:sz w:val="24"/>
                <w:highlight w:val="none"/>
              </w:rPr>
            </w:pPr>
          </w:p>
        </w:tc>
        <w:tc>
          <w:tcPr>
            <w:tcW w:w="4789" w:type="dxa"/>
            <w:gridSpan w:val="3"/>
            <w:vAlign w:val="center"/>
          </w:tcPr>
          <w:p>
            <w:pPr>
              <w:spacing w:line="300" w:lineRule="auto"/>
              <w:jc w:val="center"/>
              <w:rPr>
                <w:rFonts w:ascii="Times New Roman" w:hAnsi="Times New Roman" w:eastAsia="仿宋" w:cs="Times New Roman"/>
                <w:color w:val="auto"/>
                <w:sz w:val="24"/>
                <w:highlight w:val="none"/>
              </w:rPr>
            </w:pPr>
          </w:p>
        </w:tc>
        <w:tc>
          <w:tcPr>
            <w:tcW w:w="1386" w:type="dxa"/>
            <w:vAlign w:val="center"/>
          </w:tcPr>
          <w:p>
            <w:pPr>
              <w:spacing w:line="300" w:lineRule="auto"/>
              <w:jc w:val="center"/>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w:t>
            </w:r>
          </w:p>
        </w:tc>
        <w:tc>
          <w:tcPr>
            <w:tcW w:w="1386" w:type="dxa"/>
            <w:vAlign w:val="center"/>
          </w:tcPr>
          <w:p>
            <w:pPr>
              <w:spacing w:line="300" w:lineRule="auto"/>
              <w:jc w:val="center"/>
              <w:rPr>
                <w:rFonts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726" w:type="dxa"/>
            <w:vAlign w:val="center"/>
          </w:tcPr>
          <w:p>
            <w:pPr>
              <w:numPr>
                <w:ilvl w:val="0"/>
                <w:numId w:val="6"/>
              </w:numPr>
              <w:spacing w:line="300" w:lineRule="auto"/>
              <w:rPr>
                <w:rFonts w:ascii="Times New Roman" w:hAnsi="Times New Roman" w:eastAsia="仿宋" w:cs="Times New Roman"/>
                <w:color w:val="auto"/>
                <w:sz w:val="24"/>
                <w:highlight w:val="none"/>
              </w:rPr>
            </w:pPr>
          </w:p>
        </w:tc>
        <w:tc>
          <w:tcPr>
            <w:tcW w:w="7561" w:type="dxa"/>
            <w:gridSpan w:val="5"/>
            <w:vAlign w:val="center"/>
          </w:tcPr>
          <w:p>
            <w:pPr>
              <w:spacing w:line="300" w:lineRule="auto"/>
              <w:jc w:val="right"/>
              <w:rPr>
                <w:rFonts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合计价(人民币元)</w:t>
            </w:r>
          </w:p>
        </w:tc>
      </w:tr>
    </w:tbl>
    <w:p>
      <w:pPr>
        <w:widowControl/>
        <w:jc w:val="left"/>
        <w:rPr>
          <w:rFonts w:ascii="Times New Roman" w:hAnsi="Times New Roman" w:eastAsia="黑体" w:cs="Times New Roman"/>
          <w:color w:val="auto"/>
          <w:sz w:val="30"/>
          <w:szCs w:val="30"/>
          <w:highlight w:val="none"/>
        </w:rPr>
      </w:pPr>
    </w:p>
    <w:p>
      <w:pPr>
        <w:spacing w:line="300" w:lineRule="auto"/>
        <w:ind w:firstLine="480" w:firstLineChars="200"/>
        <w:jc w:val="left"/>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w:t>
      </w:r>
      <w:r>
        <w:rPr>
          <w:rFonts w:ascii="Times New Roman" w:hAnsi="Times New Roman" w:eastAsia="仿宋_GB2312" w:cs="Times New Roman"/>
          <w:color w:val="auto"/>
          <w:sz w:val="24"/>
          <w:highlight w:val="none"/>
        </w:rPr>
        <w:t>申请</w:t>
      </w:r>
      <w:r>
        <w:rPr>
          <w:rFonts w:hint="default" w:ascii="Times New Roman" w:hAnsi="Times New Roman" w:eastAsia="仿宋_GB2312" w:cs="Times New Roman"/>
          <w:color w:val="auto"/>
          <w:sz w:val="24"/>
          <w:highlight w:val="none"/>
        </w:rPr>
        <w:t>人： （全称）     （盖章）</w:t>
      </w:r>
    </w:p>
    <w:p>
      <w:pPr>
        <w:spacing w:line="300" w:lineRule="auto"/>
        <w:ind w:firstLine="480" w:firstLineChars="200"/>
        <w:jc w:val="left"/>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法定代表人或其授权的代理人 </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（签字）</w:t>
      </w: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日期：______年___月___日</w:t>
      </w:r>
    </w:p>
    <w:p>
      <w:pPr>
        <w:autoSpaceDE w:val="0"/>
        <w:autoSpaceDN w:val="0"/>
        <w:adjustRightInd w:val="0"/>
        <w:spacing w:line="570" w:lineRule="exact"/>
        <w:contextualSpacing/>
        <w:rPr>
          <w:rFonts w:ascii="Times New Roman" w:hAnsi="Times New Roman" w:eastAsia="仿宋_GB2312" w:cs="Times New Roman"/>
          <w:b/>
          <w:bCs/>
          <w:color w:val="auto"/>
          <w:kern w:val="0"/>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outlineLvl w:val="1"/>
        <w:rPr>
          <w:rFonts w:ascii="Times New Roman" w:hAnsi="Times New Roman" w:eastAsia="黑体" w:cs="Times New Roman"/>
          <w:color w:val="auto"/>
          <w:sz w:val="32"/>
          <w:szCs w:val="32"/>
          <w:highlight w:val="none"/>
        </w:rPr>
      </w:pPr>
      <w:bookmarkStart w:id="69" w:name="_Toc20126"/>
      <w:bookmarkStart w:id="70" w:name="_Toc38447202"/>
      <w:bookmarkStart w:id="71" w:name="_Toc23700"/>
      <w:r>
        <w:rPr>
          <w:rFonts w:hint="default" w:ascii="Times New Roman" w:hAnsi="Times New Roman" w:eastAsia="黑体" w:cs="Times New Roman"/>
          <w:color w:val="auto"/>
          <w:sz w:val="32"/>
          <w:szCs w:val="32"/>
          <w:highlight w:val="none"/>
        </w:rPr>
        <w:t>八、比选承诺书</w:t>
      </w:r>
      <w:bookmarkEnd w:id="69"/>
      <w:bookmarkEnd w:id="70"/>
      <w:bookmarkEnd w:id="71"/>
    </w:p>
    <w:p>
      <w:pPr>
        <w:spacing w:line="570" w:lineRule="exact"/>
        <w:contextualSpacing/>
        <w:jc w:val="center"/>
        <w:rPr>
          <w:rFonts w:ascii="Times New Roman" w:hAnsi="Times New Roman" w:eastAsia="仿宋_GB2312" w:cs="Times New Roman"/>
          <w:b/>
          <w:color w:val="auto"/>
          <w:sz w:val="28"/>
          <w:szCs w:val="28"/>
          <w:highlight w:val="none"/>
        </w:rPr>
      </w:pP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四川交投物流有限公司：</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本单位自愿参加四川交投物流有限公司“</w:t>
      </w:r>
      <w:r>
        <w:rPr>
          <w:rFonts w:ascii="Times New Roman" w:hAnsi="Times New Roman" w:eastAsia="仿宋_GB2312" w:cs="Times New Roman"/>
          <w:color w:val="auto"/>
          <w:sz w:val="24"/>
          <w:highlight w:val="none"/>
        </w:rPr>
        <w:t>E</w:t>
      </w:r>
      <w:r>
        <w:rPr>
          <w:rFonts w:hint="default" w:ascii="Times New Roman" w:hAnsi="Times New Roman" w:eastAsia="仿宋_GB2312" w:cs="Times New Roman"/>
          <w:color w:val="auto"/>
          <w:sz w:val="24"/>
          <w:highlight w:val="none"/>
        </w:rPr>
        <w:t>购网”电子商城平台福利专区软件开发项目比</w:t>
      </w:r>
      <w:r>
        <w:rPr>
          <w:rFonts w:ascii="Times New Roman" w:hAnsi="Times New Roman" w:eastAsia="仿宋_GB2312" w:cs="Times New Roman"/>
          <w:color w:val="auto"/>
          <w:sz w:val="24"/>
          <w:highlight w:val="none"/>
        </w:rPr>
        <w:t>选</w:t>
      </w:r>
      <w:r>
        <w:rPr>
          <w:rFonts w:hint="default" w:ascii="Times New Roman" w:hAnsi="Times New Roman" w:eastAsia="仿宋_GB2312" w:cs="Times New Roman"/>
          <w:color w:val="auto"/>
          <w:sz w:val="24"/>
          <w:highlight w:val="none"/>
        </w:rPr>
        <w:t>，并保证比选申请文件中所列举报价文件及相关资料和公司情况资料是真实的、有效的、合法的。为此,本公司承诺如下：</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1.同意比选</w:t>
      </w:r>
      <w:r>
        <w:rPr>
          <w:rFonts w:ascii="Times New Roman" w:hAnsi="Times New Roman" w:eastAsia="仿宋_GB2312" w:cs="Times New Roman"/>
          <w:color w:val="auto"/>
          <w:sz w:val="24"/>
          <w:highlight w:val="none"/>
        </w:rPr>
        <w:t>申请</w:t>
      </w:r>
      <w:r>
        <w:rPr>
          <w:rFonts w:hint="default" w:ascii="Times New Roman" w:hAnsi="Times New Roman" w:eastAsia="仿宋_GB2312" w:cs="Times New Roman"/>
          <w:color w:val="auto"/>
          <w:sz w:val="24"/>
          <w:highlight w:val="none"/>
        </w:rPr>
        <w:t>文件中的有关规定。</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2.同意提供按照贵方要求的与比选</w:t>
      </w:r>
      <w:r>
        <w:rPr>
          <w:rFonts w:ascii="Times New Roman" w:hAnsi="Times New Roman" w:eastAsia="仿宋_GB2312" w:cs="Times New Roman"/>
          <w:color w:val="auto"/>
          <w:sz w:val="24"/>
          <w:highlight w:val="none"/>
        </w:rPr>
        <w:t>申请</w:t>
      </w:r>
      <w:r>
        <w:rPr>
          <w:rFonts w:hint="default" w:ascii="Times New Roman" w:hAnsi="Times New Roman" w:eastAsia="仿宋_GB2312" w:cs="Times New Roman"/>
          <w:color w:val="auto"/>
          <w:sz w:val="24"/>
          <w:highlight w:val="none"/>
        </w:rPr>
        <w:t>文件有关的一切数据、情况和资料等。</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3.本单位如中选，保证按照比选</w:t>
      </w:r>
      <w:r>
        <w:rPr>
          <w:rFonts w:ascii="Times New Roman" w:hAnsi="Times New Roman" w:eastAsia="仿宋_GB2312" w:cs="Times New Roman"/>
          <w:color w:val="auto"/>
          <w:sz w:val="24"/>
          <w:highlight w:val="none"/>
        </w:rPr>
        <w:t>申请</w:t>
      </w:r>
      <w:r>
        <w:rPr>
          <w:rFonts w:hint="default" w:ascii="Times New Roman" w:hAnsi="Times New Roman" w:eastAsia="仿宋_GB2312" w:cs="Times New Roman"/>
          <w:color w:val="auto"/>
          <w:sz w:val="24"/>
          <w:highlight w:val="none"/>
        </w:rPr>
        <w:t>文件的承诺与贵方签订服务协议。</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4.无论本单位中选或者落选，均保证不向任何第三方泄露本次比选的相关信息，不向任何第三方披露获得的或收到的任何文件资料及非公开信息。</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5.本单位参与本次比选申请，保证不存在以下情形：</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（1）提供虚假材料谋取中选；</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（2）采取不正当手段诋毁、排挤其他比选申请人；</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（3）与其它比选申请人恶意串通；</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（4）向比选人行贿或者提供其他不正当利益；</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（5）拒绝有关部门监督检查或提供虚假情况；</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（6）有其他违规行为。</w:t>
      </w: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比选申请人名称（盖章）：</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法定代表人或授权委托人（签字或盖章）：</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   月   日</w:t>
      </w: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spacing w:line="300" w:lineRule="auto"/>
        <w:ind w:firstLine="480" w:firstLineChars="200"/>
        <w:rPr>
          <w:rFonts w:ascii="Times New Roman" w:hAnsi="Times New Roman" w:eastAsia="仿宋_GB2312" w:cs="Times New Roman"/>
          <w:color w:val="auto"/>
          <w:sz w:val="24"/>
          <w:highlight w:val="none"/>
        </w:rPr>
      </w:pPr>
    </w:p>
    <w:p>
      <w:pPr>
        <w:outlineLvl w:val="1"/>
        <w:rPr>
          <w:rFonts w:ascii="Times New Roman" w:hAnsi="Times New Roman" w:eastAsia="黑体" w:cs="Times New Roman"/>
          <w:color w:val="auto"/>
          <w:sz w:val="32"/>
          <w:szCs w:val="32"/>
          <w:highlight w:val="none"/>
        </w:rPr>
      </w:pPr>
      <w:bookmarkStart w:id="72" w:name="_Toc38447203"/>
      <w:bookmarkStart w:id="73" w:name="_Toc29844"/>
      <w:bookmarkStart w:id="74" w:name="_Toc19592"/>
      <w:r>
        <w:rPr>
          <w:rFonts w:hint="default" w:ascii="Times New Roman" w:hAnsi="Times New Roman" w:eastAsia="黑体" w:cs="Times New Roman"/>
          <w:color w:val="auto"/>
          <w:sz w:val="32"/>
          <w:szCs w:val="32"/>
          <w:highlight w:val="none"/>
        </w:rPr>
        <w:t>九、保密承诺函</w:t>
      </w:r>
      <w:bookmarkEnd w:id="72"/>
      <w:bookmarkEnd w:id="73"/>
      <w:bookmarkEnd w:id="74"/>
    </w:p>
    <w:p>
      <w:pPr>
        <w:spacing w:line="400" w:lineRule="atLeast"/>
        <w:rPr>
          <w:rFonts w:ascii="Times New Roman" w:hAnsi="Times New Roman" w:eastAsia="仿宋_GB2312" w:cs="Times New Roman"/>
          <w:color w:val="auto"/>
          <w:sz w:val="24"/>
          <w:highlight w:val="none"/>
          <w:u w:val="single"/>
        </w:rPr>
      </w:pPr>
      <w:r>
        <w:rPr>
          <w:rFonts w:hint="default" w:ascii="Times New Roman" w:hAnsi="Times New Roman" w:eastAsia="仿宋_GB2312" w:cs="Times New Roman"/>
          <w:color w:val="auto"/>
          <w:sz w:val="24"/>
          <w:highlight w:val="none"/>
          <w:u w:val="single"/>
        </w:rPr>
        <w:t>致：四川交投物流有限公司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为保护贵司、合作方及项目参与人员的合法利益，保证合作双方实现顺利合作，避免因信息泄露而给合作双方造成损失，参与本项目的所有公司员工应承诺遵守本保密书内容。</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1. 保密信息  本函所示保密信息为合作双方就合作项目前涉及各方或各自关联方公司尚未公开的信息。包括：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1.1 以手写、打印、软件、磁盘、光盘、胶片或其它可存取的方式记载的有关财务或商业信息数据及资料；（如有）</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1.2 以口头方式说明需要保密的财务或商业信息；（如有）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1.3 以软件代码、文字图像、分析注释、备忘录、图纸、研究报告、编辑数据等各种方式出现的财务或商业信息；（如有）</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1.4 公司与合作方之间的交易进程及所有信息、数据及资料。 （如有）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1.5 合作双方在讨论合作过程中，包括但不限于在对方处参观、考察的过程中以其它形式获得的财务信息或商业信息。（如有）</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2. 保密义务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2.1 承诺人始终对保密资料保密，不在项目之外使用对方提供的保密信息及掌握 的公司保密信息。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2.2 未经同意，不向任何第三方提供保密信息以及可以接触上述保密信息的手段，包括在公开场合展览，公开对外宣传，作为文章、讯息、参考数据发表。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2.3 只向项目相关人员（包括各自的董事</w:t>
      </w:r>
      <w:r>
        <w:rPr>
          <w:rFonts w:hint="default" w:ascii="Times New Roman" w:hAnsi="Times New Roman" w:eastAsia="微软雅黑" w:cs="Times New Roman"/>
          <w:color w:val="auto"/>
          <w:sz w:val="24"/>
          <w:highlight w:val="none"/>
        </w:rPr>
        <w:t>﹑</w:t>
      </w:r>
      <w:r>
        <w:rPr>
          <w:rFonts w:hint="default" w:ascii="Times New Roman" w:hAnsi="Times New Roman" w:eastAsia="仿宋_GB2312" w:cs="Times New Roman"/>
          <w:color w:val="auto"/>
          <w:sz w:val="24"/>
          <w:highlight w:val="none"/>
        </w:rPr>
        <w:t>顾问</w:t>
      </w:r>
      <w:r>
        <w:rPr>
          <w:rFonts w:hint="default" w:ascii="Times New Roman" w:hAnsi="Times New Roman" w:eastAsia="微软雅黑" w:cs="Times New Roman"/>
          <w:color w:val="auto"/>
          <w:sz w:val="24"/>
          <w:highlight w:val="none"/>
        </w:rPr>
        <w:t>﹑</w:t>
      </w:r>
      <w:r>
        <w:rPr>
          <w:rFonts w:hint="default" w:ascii="Times New Roman" w:hAnsi="Times New Roman" w:eastAsia="仿宋_GB2312" w:cs="Times New Roman"/>
          <w:color w:val="auto"/>
          <w:sz w:val="24"/>
          <w:highlight w:val="none"/>
        </w:rPr>
        <w:t xml:space="preserve">代理人和雇员等）为商讨合作项目而有需要知悉保密信息的人士披露保密信息；并保证，上述各相关人员的行为将会符合本守则的规定。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2.4 在商讨合作项目的过程中，若需向第三方披露对方的保密信息，应事先取得书面许可，并要求该第三方不得向任何其它人士泄露保密信息。 </w:t>
      </w:r>
    </w:p>
    <w:p>
      <w:pPr>
        <w:spacing w:line="300" w:lineRule="auto"/>
        <w:ind w:firstLine="480" w:firstLineChars="200"/>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特此承诺！</w:t>
      </w:r>
    </w:p>
    <w:p>
      <w:pPr>
        <w:spacing w:line="300" w:lineRule="auto"/>
        <w:rPr>
          <w:rFonts w:ascii="Times New Roman" w:hAnsi="Times New Roman" w:eastAsia="仿宋_GB2312" w:cs="Times New Roman"/>
          <w:color w:val="auto"/>
          <w:sz w:val="24"/>
          <w:highlight w:val="none"/>
        </w:rPr>
      </w:pPr>
    </w:p>
    <w:p>
      <w:pPr>
        <w:spacing w:line="36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w:t>
      </w:r>
      <w:r>
        <w:rPr>
          <w:rFonts w:ascii="Times New Roman" w:hAnsi="Times New Roman" w:eastAsia="仿宋_GB2312" w:cs="Times New Roman"/>
          <w:color w:val="auto"/>
          <w:sz w:val="24"/>
          <w:highlight w:val="none"/>
        </w:rPr>
        <w:t>申请</w:t>
      </w:r>
      <w:r>
        <w:rPr>
          <w:rFonts w:hint="default" w:ascii="Times New Roman" w:hAnsi="Times New Roman" w:eastAsia="仿宋_GB2312" w:cs="Times New Roman"/>
          <w:color w:val="auto"/>
          <w:sz w:val="24"/>
          <w:highlight w:val="none"/>
        </w:rPr>
        <w:t>人：</w:t>
      </w:r>
      <w:r>
        <w:rPr>
          <w:rFonts w:hint="default" w:ascii="Times New Roman" w:hAnsi="Times New Roman" w:eastAsia="仿宋_GB2312" w:cs="Times New Roman"/>
          <w:color w:val="auto"/>
          <w:sz w:val="24"/>
          <w:highlight w:val="none"/>
          <w:u w:val="single"/>
        </w:rPr>
        <w:t xml:space="preserve">                        （盖章）</w:t>
      </w:r>
    </w:p>
    <w:p>
      <w:pPr>
        <w:spacing w:line="300" w:lineRule="auto"/>
        <w:jc w:val="left"/>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法定代表人或授权委托人（签字或盖章）：</w:t>
      </w:r>
    </w:p>
    <w:p>
      <w:pPr>
        <w:spacing w:line="300" w:lineRule="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时间：</w:t>
      </w:r>
      <w:r>
        <w:rPr>
          <w:rFonts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rPr>
        <w:t>年  月  日</w:t>
      </w: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outlineLvl w:val="1"/>
        <w:rPr>
          <w:rFonts w:ascii="Times New Roman" w:hAnsi="Times New Roman" w:eastAsia="黑体" w:cs="Times New Roman"/>
          <w:color w:val="auto"/>
          <w:sz w:val="32"/>
          <w:szCs w:val="32"/>
          <w:highlight w:val="none"/>
        </w:rPr>
      </w:pPr>
      <w:bookmarkStart w:id="75" w:name="_Toc29793"/>
      <w:r>
        <w:rPr>
          <w:rFonts w:hint="default" w:ascii="Times New Roman" w:hAnsi="Times New Roman" w:eastAsia="黑体" w:cs="Times New Roman"/>
          <w:color w:val="auto"/>
          <w:sz w:val="32"/>
          <w:szCs w:val="32"/>
          <w:highlight w:val="none"/>
        </w:rPr>
        <w:t>十、协助运营服务能力证明</w:t>
      </w:r>
      <w:bookmarkEnd w:id="75"/>
    </w:p>
    <w:p>
      <w:pPr>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按比选文件要求提供</w:t>
      </w:r>
    </w:p>
    <w:p>
      <w:pPr>
        <w:autoSpaceDE w:val="0"/>
        <w:autoSpaceDN w:val="0"/>
        <w:adjustRightInd w:val="0"/>
        <w:spacing w:line="570" w:lineRule="exact"/>
        <w:contextualSpacing/>
        <w:rPr>
          <w:rFonts w:ascii="Times New Roman" w:hAnsi="Times New Roman" w:eastAsia="仿宋_GB2312" w:cs="Times New Roman"/>
          <w:b/>
          <w:color w:val="auto"/>
          <w:sz w:val="28"/>
          <w:szCs w:val="28"/>
          <w:highlight w:val="none"/>
        </w:rPr>
      </w:pPr>
    </w:p>
    <w:p>
      <w:pPr>
        <w:widowControl/>
        <w:jc w:val="left"/>
        <w:rPr>
          <w:rFonts w:ascii="Times New Roman" w:hAnsi="Times New Roman" w:eastAsia="黑体" w:cs="Times New Roman"/>
          <w:color w:val="auto"/>
          <w:sz w:val="32"/>
          <w:szCs w:val="32"/>
          <w:highlight w:val="none"/>
        </w:rPr>
      </w:pPr>
      <w:bookmarkStart w:id="76" w:name="_Toc38447204"/>
      <w:bookmarkStart w:id="77" w:name="_Toc31521"/>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bookmarkStart w:id="78" w:name="_Toc14495"/>
      <w:r>
        <w:rPr>
          <w:rFonts w:hint="default" w:ascii="Times New Roman" w:hAnsi="Times New Roman" w:eastAsia="黑体" w:cs="Times New Roman"/>
          <w:color w:val="auto"/>
          <w:sz w:val="32"/>
          <w:szCs w:val="32"/>
          <w:highlight w:val="none"/>
        </w:rPr>
        <w:t>十一、业绩证明</w:t>
      </w:r>
      <w:bookmarkEnd w:id="76"/>
      <w:bookmarkEnd w:id="77"/>
      <w:bookmarkEnd w:id="78"/>
    </w:p>
    <w:p>
      <w:pPr>
        <w:rPr>
          <w:rFonts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按比选文件要求提供</w:t>
      </w:r>
    </w:p>
    <w:p>
      <w:pPr>
        <w:rPr>
          <w:rFonts w:ascii="Times New Roman" w:hAnsi="Times New Roman" w:eastAsia="仿宋_GB2312" w:cs="Times New Roman"/>
          <w:color w:val="auto"/>
          <w:sz w:val="28"/>
          <w:szCs w:val="28"/>
          <w:highlight w:val="none"/>
        </w:rPr>
      </w:pPr>
    </w:p>
    <w:p>
      <w:pPr>
        <w:widowControl/>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bookmarkStart w:id="79" w:name="_Toc5862"/>
      <w:bookmarkStart w:id="80" w:name="_Toc15400"/>
      <w:bookmarkStart w:id="81" w:name="_Toc38447205"/>
      <w:r>
        <w:rPr>
          <w:rFonts w:hint="default" w:ascii="Times New Roman" w:hAnsi="Times New Roman" w:eastAsia="黑体" w:cs="Times New Roman"/>
          <w:color w:val="auto"/>
          <w:sz w:val="32"/>
          <w:szCs w:val="32"/>
          <w:highlight w:val="none"/>
        </w:rPr>
        <w:t>十二、经营状况承诺书</w:t>
      </w:r>
      <w:bookmarkEnd w:id="79"/>
      <w:bookmarkEnd w:id="80"/>
      <w:bookmarkEnd w:id="81"/>
    </w:p>
    <w:p>
      <w:pPr>
        <w:jc w:val="center"/>
        <w:rPr>
          <w:rFonts w:ascii="Times New Roman" w:hAnsi="Times New Roman" w:eastAsia="方正小标宋简体" w:cs="Times New Roman"/>
          <w:b/>
          <w:bCs/>
          <w:color w:val="auto"/>
          <w:sz w:val="32"/>
          <w:szCs w:val="32"/>
          <w:highlight w:val="none"/>
        </w:rPr>
      </w:pPr>
      <w:r>
        <w:rPr>
          <w:rFonts w:hint="default" w:ascii="Times New Roman" w:hAnsi="Times New Roman" w:eastAsia="方正小标宋简体" w:cs="Times New Roman"/>
          <w:b/>
          <w:bCs/>
          <w:color w:val="auto"/>
          <w:sz w:val="32"/>
          <w:szCs w:val="32"/>
          <w:highlight w:val="none"/>
        </w:rPr>
        <w:t>经营状况承诺书</w:t>
      </w:r>
    </w:p>
    <w:p>
      <w:pPr>
        <w:rPr>
          <w:rFonts w:ascii="Times New Roman" w:hAnsi="Times New Roman" w:eastAsia="仿宋_GB2312" w:cs="Times New Roman"/>
          <w:color w:val="auto"/>
          <w:sz w:val="28"/>
          <w:szCs w:val="28"/>
          <w:highlight w:val="none"/>
        </w:rPr>
      </w:pPr>
    </w:p>
    <w:p>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致：四川交投物流有限公司</w:t>
      </w:r>
      <w:r>
        <w:rPr>
          <w:rFonts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我公司确认不存在下列情形：</w:t>
      </w:r>
    </w:p>
    <w:p>
      <w:pPr>
        <w:pStyle w:val="23"/>
        <w:numPr>
          <w:ilvl w:val="0"/>
          <w:numId w:val="7"/>
        </w:numPr>
        <w:ind w:firstLineChars="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为比选人不具有独立法人资格的附属机构(单位)的；</w:t>
      </w:r>
    </w:p>
    <w:p>
      <w:pPr>
        <w:pStyle w:val="23"/>
        <w:numPr>
          <w:ilvl w:val="0"/>
          <w:numId w:val="7"/>
        </w:numPr>
        <w:ind w:firstLineChars="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被责令停业或破产状态的；</w:t>
      </w:r>
    </w:p>
    <w:p>
      <w:pPr>
        <w:pStyle w:val="23"/>
        <w:numPr>
          <w:ilvl w:val="0"/>
          <w:numId w:val="7"/>
        </w:numPr>
        <w:ind w:firstLineChars="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被相关行政监督部门或被蜀道集团公司及其下属企业暂停或取消投标或者比选资格的；</w:t>
      </w:r>
    </w:p>
    <w:p>
      <w:pPr>
        <w:pStyle w:val="23"/>
        <w:numPr>
          <w:ilvl w:val="0"/>
          <w:numId w:val="7"/>
        </w:numPr>
        <w:ind w:firstLineChars="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财产被接管、冻结的或破产状态的；</w:t>
      </w:r>
    </w:p>
    <w:p>
      <w:pPr>
        <w:pStyle w:val="23"/>
        <w:numPr>
          <w:ilvl w:val="0"/>
          <w:numId w:val="7"/>
        </w:numPr>
        <w:ind w:firstLineChars="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在最近三年内有被相关行政监督部门判定并发布骗取中标的；</w:t>
      </w:r>
    </w:p>
    <w:p>
      <w:pPr>
        <w:pStyle w:val="23"/>
        <w:numPr>
          <w:ilvl w:val="0"/>
          <w:numId w:val="7"/>
        </w:numPr>
        <w:ind w:firstLineChars="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投标人承揽项目在业主使用过程中出现过重大质量问题，至今尚未妥善解决的；</w:t>
      </w:r>
    </w:p>
    <w:p>
      <w:pPr>
        <w:rPr>
          <w:rFonts w:ascii="Times New Roman" w:hAnsi="Times New Roman" w:eastAsia="仿宋_GB2312" w:cs="Times New Roman"/>
          <w:color w:val="auto"/>
          <w:sz w:val="28"/>
          <w:szCs w:val="28"/>
          <w:highlight w:val="none"/>
        </w:rPr>
      </w:pPr>
    </w:p>
    <w:p>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特此承诺。</w:t>
      </w:r>
    </w:p>
    <w:p>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投标人：__________________（盖章）</w:t>
      </w:r>
    </w:p>
    <w:p>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法定代表人或其委托代理人：           （签字）</w:t>
      </w:r>
    </w:p>
    <w:p>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    月    日</w:t>
      </w:r>
    </w:p>
    <w:p>
      <w:pPr>
        <w:widowControl/>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outlineLvl w:val="1"/>
        <w:rPr>
          <w:rFonts w:ascii="Times New Roman" w:hAnsi="Times New Roman" w:eastAsia="黑体" w:cs="Times New Roman"/>
          <w:color w:val="auto"/>
          <w:sz w:val="32"/>
          <w:szCs w:val="32"/>
          <w:highlight w:val="none"/>
        </w:rPr>
      </w:pPr>
      <w:bookmarkStart w:id="82" w:name="_Toc38447206"/>
      <w:bookmarkStart w:id="83" w:name="_Toc31243"/>
      <w:bookmarkStart w:id="84" w:name="_Toc22844"/>
      <w:r>
        <w:rPr>
          <w:rFonts w:hint="default" w:ascii="Times New Roman" w:hAnsi="Times New Roman" w:eastAsia="黑体" w:cs="Times New Roman"/>
          <w:color w:val="auto"/>
          <w:sz w:val="32"/>
          <w:szCs w:val="32"/>
          <w:highlight w:val="none"/>
        </w:rPr>
        <w:t>十三、其他</w:t>
      </w:r>
      <w:bookmarkEnd w:id="82"/>
      <w:bookmarkEnd w:id="83"/>
      <w:bookmarkEnd w:id="84"/>
    </w:p>
    <w:p>
      <w:pPr>
        <w:rPr>
          <w:rFonts w:ascii="Times New Roman" w:hAnsi="Times New Roman" w:cs="Times New Roman"/>
          <w:color w:val="auto"/>
          <w:highlight w:val="none"/>
        </w:rPr>
        <w:sectPr>
          <w:footerReference r:id="rId6" w:type="first"/>
          <w:footerReference r:id="rId5" w:type="default"/>
          <w:pgSz w:w="11906" w:h="16838"/>
          <w:pgMar w:top="1276" w:right="1247" w:bottom="1276" w:left="1588" w:header="851" w:footer="992" w:gutter="0"/>
          <w:cols w:space="720" w:num="1"/>
          <w:titlePg/>
          <w:docGrid w:type="linesAndChars" w:linePitch="312" w:charSpace="0"/>
        </w:sectPr>
      </w:pPr>
      <w:r>
        <w:rPr>
          <w:rFonts w:hint="default" w:ascii="Times New Roman" w:hAnsi="Times New Roman" w:eastAsia="仿宋_GB2312" w:cs="Times New Roman"/>
          <w:color w:val="auto"/>
          <w:sz w:val="28"/>
          <w:szCs w:val="28"/>
          <w:highlight w:val="none"/>
        </w:rPr>
        <w:t>比选申请人认为有必要补充提供的其他材料，格式自行拟定</w:t>
      </w:r>
    </w:p>
    <w:p>
      <w:pPr>
        <w:spacing w:line="540" w:lineRule="exact"/>
        <w:rPr>
          <w:rFonts w:ascii="Times New Roman" w:hAnsi="Times New Roman" w:eastAsia="仿宋_GB2312" w:cs="Times New Roman"/>
          <w:color w:val="auto"/>
          <w:sz w:val="32"/>
          <w:szCs w:val="32"/>
          <w:highlight w:val="none"/>
        </w:rPr>
      </w:pPr>
    </w:p>
    <w:sectPr>
      <w:pgSz w:w="11906" w:h="16838"/>
      <w:pgMar w:top="1276" w:right="1247" w:bottom="1276" w:left="1588" w:header="851" w:footer="992" w:gutter="0"/>
      <w:cols w:equalWidth="0" w:num="2">
        <w:col w:w="4323" w:space="425"/>
        <w:col w:w="4323"/>
      </w:cols>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DejaVu Sans">
    <w:altName w:val="Verdana"/>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776FCA"/>
    <w:multiLevelType w:val="multilevel"/>
    <w:tmpl w:val="0C776FCA"/>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1D77204C"/>
    <w:multiLevelType w:val="multilevel"/>
    <w:tmpl w:val="1D77204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6B4717D"/>
    <w:multiLevelType w:val="multilevel"/>
    <w:tmpl w:val="26B4717D"/>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CB37F65"/>
    <w:multiLevelType w:val="multilevel"/>
    <w:tmpl w:val="2CB37F65"/>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B5E0FF1"/>
    <w:multiLevelType w:val="multilevel"/>
    <w:tmpl w:val="4B5E0FF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E0B34CA"/>
    <w:multiLevelType w:val="multilevel"/>
    <w:tmpl w:val="4E0B34CA"/>
    <w:lvl w:ilvl="0" w:tentative="0">
      <w:start w:val="1"/>
      <w:numFmt w:val="japaneseCounting"/>
      <w:lvlText w:val="第%1章"/>
      <w:lvlJc w:val="left"/>
      <w:pPr>
        <w:ind w:left="1549" w:hanging="154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3F715F"/>
    <w:rsid w:val="0000018E"/>
    <w:rsid w:val="000012BD"/>
    <w:rsid w:val="000029AE"/>
    <w:rsid w:val="00006318"/>
    <w:rsid w:val="00007041"/>
    <w:rsid w:val="00010C07"/>
    <w:rsid w:val="0001273A"/>
    <w:rsid w:val="00013996"/>
    <w:rsid w:val="00015959"/>
    <w:rsid w:val="00015A24"/>
    <w:rsid w:val="00021A2F"/>
    <w:rsid w:val="00022A1D"/>
    <w:rsid w:val="00025B77"/>
    <w:rsid w:val="000310AF"/>
    <w:rsid w:val="000313E7"/>
    <w:rsid w:val="0003153B"/>
    <w:rsid w:val="00031A36"/>
    <w:rsid w:val="000344B3"/>
    <w:rsid w:val="00042D83"/>
    <w:rsid w:val="00043CE8"/>
    <w:rsid w:val="00045906"/>
    <w:rsid w:val="00046223"/>
    <w:rsid w:val="00046481"/>
    <w:rsid w:val="000467B2"/>
    <w:rsid w:val="00050DA6"/>
    <w:rsid w:val="00053A96"/>
    <w:rsid w:val="00053C4E"/>
    <w:rsid w:val="000564E7"/>
    <w:rsid w:val="0005720E"/>
    <w:rsid w:val="0006064D"/>
    <w:rsid w:val="00060A13"/>
    <w:rsid w:val="00060DC1"/>
    <w:rsid w:val="0006164A"/>
    <w:rsid w:val="00061F4B"/>
    <w:rsid w:val="0006316D"/>
    <w:rsid w:val="00063C9A"/>
    <w:rsid w:val="00064511"/>
    <w:rsid w:val="00072BA8"/>
    <w:rsid w:val="00073327"/>
    <w:rsid w:val="0007442B"/>
    <w:rsid w:val="00077BA4"/>
    <w:rsid w:val="00080202"/>
    <w:rsid w:val="00083E5D"/>
    <w:rsid w:val="00084D7E"/>
    <w:rsid w:val="00085381"/>
    <w:rsid w:val="0008607B"/>
    <w:rsid w:val="00090271"/>
    <w:rsid w:val="0009042E"/>
    <w:rsid w:val="00090557"/>
    <w:rsid w:val="0009211C"/>
    <w:rsid w:val="00092D9E"/>
    <w:rsid w:val="00095698"/>
    <w:rsid w:val="0009771E"/>
    <w:rsid w:val="000A1CE2"/>
    <w:rsid w:val="000A4C9E"/>
    <w:rsid w:val="000A6D34"/>
    <w:rsid w:val="000B1E06"/>
    <w:rsid w:val="000B5E73"/>
    <w:rsid w:val="000C1764"/>
    <w:rsid w:val="000C1D92"/>
    <w:rsid w:val="000C56A6"/>
    <w:rsid w:val="000C5877"/>
    <w:rsid w:val="000C7BAD"/>
    <w:rsid w:val="000D0F58"/>
    <w:rsid w:val="000D152D"/>
    <w:rsid w:val="000D575B"/>
    <w:rsid w:val="000D74ED"/>
    <w:rsid w:val="000E13F6"/>
    <w:rsid w:val="000E2649"/>
    <w:rsid w:val="000E4583"/>
    <w:rsid w:val="000E592E"/>
    <w:rsid w:val="000E65C6"/>
    <w:rsid w:val="000E7E16"/>
    <w:rsid w:val="000E7FF7"/>
    <w:rsid w:val="000F13F0"/>
    <w:rsid w:val="000F4876"/>
    <w:rsid w:val="000F7751"/>
    <w:rsid w:val="000F788F"/>
    <w:rsid w:val="00100EB3"/>
    <w:rsid w:val="0010139E"/>
    <w:rsid w:val="00102C3F"/>
    <w:rsid w:val="001058A7"/>
    <w:rsid w:val="001119F0"/>
    <w:rsid w:val="00120953"/>
    <w:rsid w:val="00121BC7"/>
    <w:rsid w:val="0012465D"/>
    <w:rsid w:val="00124AC1"/>
    <w:rsid w:val="00127C8E"/>
    <w:rsid w:val="00131BB1"/>
    <w:rsid w:val="00133555"/>
    <w:rsid w:val="001344C6"/>
    <w:rsid w:val="00140722"/>
    <w:rsid w:val="00144212"/>
    <w:rsid w:val="0015046A"/>
    <w:rsid w:val="001504D8"/>
    <w:rsid w:val="001524DD"/>
    <w:rsid w:val="00153FF9"/>
    <w:rsid w:val="00156516"/>
    <w:rsid w:val="0015679C"/>
    <w:rsid w:val="00157BFC"/>
    <w:rsid w:val="0016001B"/>
    <w:rsid w:val="0016145D"/>
    <w:rsid w:val="00161B2A"/>
    <w:rsid w:val="0016519B"/>
    <w:rsid w:val="0016706A"/>
    <w:rsid w:val="001676EB"/>
    <w:rsid w:val="00171EAD"/>
    <w:rsid w:val="00172D27"/>
    <w:rsid w:val="00173903"/>
    <w:rsid w:val="00175FCB"/>
    <w:rsid w:val="00181189"/>
    <w:rsid w:val="00182112"/>
    <w:rsid w:val="0018242A"/>
    <w:rsid w:val="001825E7"/>
    <w:rsid w:val="00182D9F"/>
    <w:rsid w:val="00184E67"/>
    <w:rsid w:val="00190144"/>
    <w:rsid w:val="001930A8"/>
    <w:rsid w:val="001A156F"/>
    <w:rsid w:val="001A2642"/>
    <w:rsid w:val="001A3245"/>
    <w:rsid w:val="001A33D2"/>
    <w:rsid w:val="001A4DAB"/>
    <w:rsid w:val="001A63B3"/>
    <w:rsid w:val="001A7DC4"/>
    <w:rsid w:val="001B18AD"/>
    <w:rsid w:val="001B1BEF"/>
    <w:rsid w:val="001B2E7D"/>
    <w:rsid w:val="001B37B2"/>
    <w:rsid w:val="001B3CF6"/>
    <w:rsid w:val="001B417D"/>
    <w:rsid w:val="001B5545"/>
    <w:rsid w:val="001B72AA"/>
    <w:rsid w:val="001C6A81"/>
    <w:rsid w:val="001D01E9"/>
    <w:rsid w:val="001D5993"/>
    <w:rsid w:val="001D73BD"/>
    <w:rsid w:val="001E277C"/>
    <w:rsid w:val="001E2EC4"/>
    <w:rsid w:val="001E33DF"/>
    <w:rsid w:val="001E3D95"/>
    <w:rsid w:val="001F0215"/>
    <w:rsid w:val="001F3D40"/>
    <w:rsid w:val="001F5320"/>
    <w:rsid w:val="001F55F4"/>
    <w:rsid w:val="00200CD6"/>
    <w:rsid w:val="0020143E"/>
    <w:rsid w:val="00204773"/>
    <w:rsid w:val="002049A9"/>
    <w:rsid w:val="00207A4C"/>
    <w:rsid w:val="0021042F"/>
    <w:rsid w:val="00213C92"/>
    <w:rsid w:val="0021414F"/>
    <w:rsid w:val="00214DCB"/>
    <w:rsid w:val="00215605"/>
    <w:rsid w:val="002159E5"/>
    <w:rsid w:val="00220407"/>
    <w:rsid w:val="002218BC"/>
    <w:rsid w:val="002246E9"/>
    <w:rsid w:val="00224CCD"/>
    <w:rsid w:val="002251AD"/>
    <w:rsid w:val="00227D90"/>
    <w:rsid w:val="002300EB"/>
    <w:rsid w:val="00230F70"/>
    <w:rsid w:val="00231891"/>
    <w:rsid w:val="00231DCD"/>
    <w:rsid w:val="002326FA"/>
    <w:rsid w:val="00232A5E"/>
    <w:rsid w:val="00232D24"/>
    <w:rsid w:val="002348BB"/>
    <w:rsid w:val="00237D3C"/>
    <w:rsid w:val="002421CF"/>
    <w:rsid w:val="00242FDA"/>
    <w:rsid w:val="00244980"/>
    <w:rsid w:val="00245806"/>
    <w:rsid w:val="00246865"/>
    <w:rsid w:val="00247D5F"/>
    <w:rsid w:val="00250E46"/>
    <w:rsid w:val="002515B0"/>
    <w:rsid w:val="00255B11"/>
    <w:rsid w:val="0025650D"/>
    <w:rsid w:val="00256C89"/>
    <w:rsid w:val="00256DB1"/>
    <w:rsid w:val="00257063"/>
    <w:rsid w:val="002574A6"/>
    <w:rsid w:val="00257943"/>
    <w:rsid w:val="00263556"/>
    <w:rsid w:val="002642A8"/>
    <w:rsid w:val="002706F7"/>
    <w:rsid w:val="002749FB"/>
    <w:rsid w:val="002769E4"/>
    <w:rsid w:val="00276E0D"/>
    <w:rsid w:val="0028097D"/>
    <w:rsid w:val="002813D3"/>
    <w:rsid w:val="0028216B"/>
    <w:rsid w:val="002848B4"/>
    <w:rsid w:val="00285F25"/>
    <w:rsid w:val="00297858"/>
    <w:rsid w:val="002A05E3"/>
    <w:rsid w:val="002A388E"/>
    <w:rsid w:val="002A4775"/>
    <w:rsid w:val="002A4F22"/>
    <w:rsid w:val="002A6107"/>
    <w:rsid w:val="002A7669"/>
    <w:rsid w:val="002B2AF4"/>
    <w:rsid w:val="002B6A87"/>
    <w:rsid w:val="002C022E"/>
    <w:rsid w:val="002C2530"/>
    <w:rsid w:val="002C3C8B"/>
    <w:rsid w:val="002D4C68"/>
    <w:rsid w:val="002D77A3"/>
    <w:rsid w:val="002D7E31"/>
    <w:rsid w:val="002E0579"/>
    <w:rsid w:val="002E0EE8"/>
    <w:rsid w:val="002E63C5"/>
    <w:rsid w:val="002E6AC6"/>
    <w:rsid w:val="002F12DC"/>
    <w:rsid w:val="002F21E6"/>
    <w:rsid w:val="00301DDF"/>
    <w:rsid w:val="00307EDF"/>
    <w:rsid w:val="00312632"/>
    <w:rsid w:val="00313E0E"/>
    <w:rsid w:val="00314EAC"/>
    <w:rsid w:val="00315BA8"/>
    <w:rsid w:val="0031728F"/>
    <w:rsid w:val="00324F10"/>
    <w:rsid w:val="0033382C"/>
    <w:rsid w:val="00334779"/>
    <w:rsid w:val="00335BF1"/>
    <w:rsid w:val="00336F9B"/>
    <w:rsid w:val="00340744"/>
    <w:rsid w:val="00342EA4"/>
    <w:rsid w:val="00343502"/>
    <w:rsid w:val="003466AC"/>
    <w:rsid w:val="003473D1"/>
    <w:rsid w:val="00347F92"/>
    <w:rsid w:val="00353747"/>
    <w:rsid w:val="00357FA0"/>
    <w:rsid w:val="0036046A"/>
    <w:rsid w:val="00367F68"/>
    <w:rsid w:val="00373713"/>
    <w:rsid w:val="00375CEE"/>
    <w:rsid w:val="003810CD"/>
    <w:rsid w:val="0038124B"/>
    <w:rsid w:val="00382F70"/>
    <w:rsid w:val="00385389"/>
    <w:rsid w:val="00391A49"/>
    <w:rsid w:val="003A4D59"/>
    <w:rsid w:val="003B3E1B"/>
    <w:rsid w:val="003B6E8C"/>
    <w:rsid w:val="003B792A"/>
    <w:rsid w:val="003C0C59"/>
    <w:rsid w:val="003C2BAD"/>
    <w:rsid w:val="003C30E4"/>
    <w:rsid w:val="003C464D"/>
    <w:rsid w:val="003C76D9"/>
    <w:rsid w:val="003C7FA8"/>
    <w:rsid w:val="003D0CC4"/>
    <w:rsid w:val="003D271C"/>
    <w:rsid w:val="003D3B08"/>
    <w:rsid w:val="003D4AC2"/>
    <w:rsid w:val="003D76E9"/>
    <w:rsid w:val="003D7D4B"/>
    <w:rsid w:val="003E0F5E"/>
    <w:rsid w:val="003E1FAE"/>
    <w:rsid w:val="003E3999"/>
    <w:rsid w:val="003E6303"/>
    <w:rsid w:val="003E7B72"/>
    <w:rsid w:val="003E7E14"/>
    <w:rsid w:val="003F4932"/>
    <w:rsid w:val="003F789A"/>
    <w:rsid w:val="004022E2"/>
    <w:rsid w:val="0040520F"/>
    <w:rsid w:val="00405341"/>
    <w:rsid w:val="00406B6A"/>
    <w:rsid w:val="0041372F"/>
    <w:rsid w:val="004157D3"/>
    <w:rsid w:val="00416192"/>
    <w:rsid w:val="00421F38"/>
    <w:rsid w:val="00422600"/>
    <w:rsid w:val="0042309D"/>
    <w:rsid w:val="00427357"/>
    <w:rsid w:val="004301F7"/>
    <w:rsid w:val="00435F69"/>
    <w:rsid w:val="00436007"/>
    <w:rsid w:val="004427B9"/>
    <w:rsid w:val="00443701"/>
    <w:rsid w:val="00443A7E"/>
    <w:rsid w:val="00444881"/>
    <w:rsid w:val="00445701"/>
    <w:rsid w:val="00445912"/>
    <w:rsid w:val="0044675E"/>
    <w:rsid w:val="004478C3"/>
    <w:rsid w:val="004603B5"/>
    <w:rsid w:val="00460CE0"/>
    <w:rsid w:val="0046246E"/>
    <w:rsid w:val="00463002"/>
    <w:rsid w:val="00466461"/>
    <w:rsid w:val="00466474"/>
    <w:rsid w:val="004675F0"/>
    <w:rsid w:val="00472841"/>
    <w:rsid w:val="00481661"/>
    <w:rsid w:val="00481F27"/>
    <w:rsid w:val="00482170"/>
    <w:rsid w:val="00482D48"/>
    <w:rsid w:val="00483813"/>
    <w:rsid w:val="00487BEC"/>
    <w:rsid w:val="004930A3"/>
    <w:rsid w:val="004945D1"/>
    <w:rsid w:val="004A3F53"/>
    <w:rsid w:val="004A4954"/>
    <w:rsid w:val="004A4D80"/>
    <w:rsid w:val="004A6831"/>
    <w:rsid w:val="004B4BA3"/>
    <w:rsid w:val="004B5BCC"/>
    <w:rsid w:val="004B7B96"/>
    <w:rsid w:val="004C144E"/>
    <w:rsid w:val="004C3F87"/>
    <w:rsid w:val="004D08A6"/>
    <w:rsid w:val="004D1BEE"/>
    <w:rsid w:val="004D3667"/>
    <w:rsid w:val="004D37E7"/>
    <w:rsid w:val="004D4CF2"/>
    <w:rsid w:val="004D5AAF"/>
    <w:rsid w:val="004D636F"/>
    <w:rsid w:val="004E4A1F"/>
    <w:rsid w:val="004E61E6"/>
    <w:rsid w:val="004E7908"/>
    <w:rsid w:val="004F220B"/>
    <w:rsid w:val="004F23B4"/>
    <w:rsid w:val="004F48CD"/>
    <w:rsid w:val="004F6338"/>
    <w:rsid w:val="00504F54"/>
    <w:rsid w:val="00505AB5"/>
    <w:rsid w:val="00506CA7"/>
    <w:rsid w:val="005071CB"/>
    <w:rsid w:val="005073B1"/>
    <w:rsid w:val="0051252A"/>
    <w:rsid w:val="00513B12"/>
    <w:rsid w:val="00515DB3"/>
    <w:rsid w:val="0051678E"/>
    <w:rsid w:val="00517E67"/>
    <w:rsid w:val="0052348D"/>
    <w:rsid w:val="005250C5"/>
    <w:rsid w:val="0052673F"/>
    <w:rsid w:val="00531AD6"/>
    <w:rsid w:val="00532250"/>
    <w:rsid w:val="00532536"/>
    <w:rsid w:val="00535694"/>
    <w:rsid w:val="00536696"/>
    <w:rsid w:val="005379D9"/>
    <w:rsid w:val="00537F1C"/>
    <w:rsid w:val="0054365D"/>
    <w:rsid w:val="00543DD8"/>
    <w:rsid w:val="00544027"/>
    <w:rsid w:val="00545116"/>
    <w:rsid w:val="00545C48"/>
    <w:rsid w:val="00545DF0"/>
    <w:rsid w:val="00546393"/>
    <w:rsid w:val="0055197E"/>
    <w:rsid w:val="005541EC"/>
    <w:rsid w:val="005550CA"/>
    <w:rsid w:val="00556E35"/>
    <w:rsid w:val="00557DC8"/>
    <w:rsid w:val="00562331"/>
    <w:rsid w:val="0056316C"/>
    <w:rsid w:val="0056509D"/>
    <w:rsid w:val="005661BC"/>
    <w:rsid w:val="005679DE"/>
    <w:rsid w:val="005713E8"/>
    <w:rsid w:val="005740C9"/>
    <w:rsid w:val="00581E06"/>
    <w:rsid w:val="0058635D"/>
    <w:rsid w:val="0058687F"/>
    <w:rsid w:val="00590014"/>
    <w:rsid w:val="00590E68"/>
    <w:rsid w:val="00591574"/>
    <w:rsid w:val="005945E6"/>
    <w:rsid w:val="005977AF"/>
    <w:rsid w:val="00597DF1"/>
    <w:rsid w:val="005A0C1E"/>
    <w:rsid w:val="005A3FA7"/>
    <w:rsid w:val="005A4D87"/>
    <w:rsid w:val="005A5102"/>
    <w:rsid w:val="005A5418"/>
    <w:rsid w:val="005A6826"/>
    <w:rsid w:val="005A6A73"/>
    <w:rsid w:val="005A6FD9"/>
    <w:rsid w:val="005B03FB"/>
    <w:rsid w:val="005B1EA3"/>
    <w:rsid w:val="005B5025"/>
    <w:rsid w:val="005B60E7"/>
    <w:rsid w:val="005C062A"/>
    <w:rsid w:val="005C2D75"/>
    <w:rsid w:val="005C49D9"/>
    <w:rsid w:val="005C4B0C"/>
    <w:rsid w:val="005C56F2"/>
    <w:rsid w:val="005C5781"/>
    <w:rsid w:val="005C6C9F"/>
    <w:rsid w:val="005C7C10"/>
    <w:rsid w:val="005D1065"/>
    <w:rsid w:val="005D48FC"/>
    <w:rsid w:val="005D6139"/>
    <w:rsid w:val="005E1033"/>
    <w:rsid w:val="005E119A"/>
    <w:rsid w:val="005E1D4E"/>
    <w:rsid w:val="005E432E"/>
    <w:rsid w:val="005E466A"/>
    <w:rsid w:val="005E4977"/>
    <w:rsid w:val="005E4C9B"/>
    <w:rsid w:val="005E7E94"/>
    <w:rsid w:val="005F2227"/>
    <w:rsid w:val="005F6FC5"/>
    <w:rsid w:val="00602470"/>
    <w:rsid w:val="00603AA7"/>
    <w:rsid w:val="00605572"/>
    <w:rsid w:val="006105A8"/>
    <w:rsid w:val="0061097E"/>
    <w:rsid w:val="00612BF5"/>
    <w:rsid w:val="006130AE"/>
    <w:rsid w:val="0061678C"/>
    <w:rsid w:val="00616866"/>
    <w:rsid w:val="0062076F"/>
    <w:rsid w:val="006227C9"/>
    <w:rsid w:val="00623972"/>
    <w:rsid w:val="00630E98"/>
    <w:rsid w:val="00631F77"/>
    <w:rsid w:val="00632A64"/>
    <w:rsid w:val="00636464"/>
    <w:rsid w:val="00640A5F"/>
    <w:rsid w:val="006417D4"/>
    <w:rsid w:val="0064194B"/>
    <w:rsid w:val="00642027"/>
    <w:rsid w:val="006432EA"/>
    <w:rsid w:val="0064482C"/>
    <w:rsid w:val="0064549B"/>
    <w:rsid w:val="0064686C"/>
    <w:rsid w:val="00647C11"/>
    <w:rsid w:val="00650FAE"/>
    <w:rsid w:val="00651846"/>
    <w:rsid w:val="00652AF2"/>
    <w:rsid w:val="006547AB"/>
    <w:rsid w:val="00656B2D"/>
    <w:rsid w:val="00661A10"/>
    <w:rsid w:val="00662AC4"/>
    <w:rsid w:val="00664365"/>
    <w:rsid w:val="006655EA"/>
    <w:rsid w:val="00667EB4"/>
    <w:rsid w:val="0067291D"/>
    <w:rsid w:val="00673410"/>
    <w:rsid w:val="00673B70"/>
    <w:rsid w:val="0067459A"/>
    <w:rsid w:val="0067459D"/>
    <w:rsid w:val="00675C0D"/>
    <w:rsid w:val="00676013"/>
    <w:rsid w:val="00681A9B"/>
    <w:rsid w:val="00682B90"/>
    <w:rsid w:val="00683269"/>
    <w:rsid w:val="00691019"/>
    <w:rsid w:val="006927FB"/>
    <w:rsid w:val="00692CFF"/>
    <w:rsid w:val="006953F9"/>
    <w:rsid w:val="00695525"/>
    <w:rsid w:val="00697E36"/>
    <w:rsid w:val="006A1969"/>
    <w:rsid w:val="006A1A79"/>
    <w:rsid w:val="006A4C00"/>
    <w:rsid w:val="006A5930"/>
    <w:rsid w:val="006B24DF"/>
    <w:rsid w:val="006B26F5"/>
    <w:rsid w:val="006B39F6"/>
    <w:rsid w:val="006B3C33"/>
    <w:rsid w:val="006B556A"/>
    <w:rsid w:val="006C1E63"/>
    <w:rsid w:val="006C32E0"/>
    <w:rsid w:val="006D04E7"/>
    <w:rsid w:val="006D1791"/>
    <w:rsid w:val="006D1B00"/>
    <w:rsid w:val="006D2E33"/>
    <w:rsid w:val="006D6271"/>
    <w:rsid w:val="006E0563"/>
    <w:rsid w:val="006E0652"/>
    <w:rsid w:val="006E0B40"/>
    <w:rsid w:val="006E5BA7"/>
    <w:rsid w:val="006F3B58"/>
    <w:rsid w:val="006F43B7"/>
    <w:rsid w:val="006F443B"/>
    <w:rsid w:val="006F510F"/>
    <w:rsid w:val="006F5336"/>
    <w:rsid w:val="006F613C"/>
    <w:rsid w:val="006F722E"/>
    <w:rsid w:val="007000AE"/>
    <w:rsid w:val="0070117F"/>
    <w:rsid w:val="00701C80"/>
    <w:rsid w:val="00701E60"/>
    <w:rsid w:val="007027C2"/>
    <w:rsid w:val="00702DFE"/>
    <w:rsid w:val="007076D5"/>
    <w:rsid w:val="00710968"/>
    <w:rsid w:val="00710E76"/>
    <w:rsid w:val="00714BF4"/>
    <w:rsid w:val="007213FC"/>
    <w:rsid w:val="00721CCE"/>
    <w:rsid w:val="00726303"/>
    <w:rsid w:val="00727107"/>
    <w:rsid w:val="00731E2B"/>
    <w:rsid w:val="0073531C"/>
    <w:rsid w:val="00736848"/>
    <w:rsid w:val="00737D3B"/>
    <w:rsid w:val="00740709"/>
    <w:rsid w:val="0074197B"/>
    <w:rsid w:val="007442C7"/>
    <w:rsid w:val="00745AA0"/>
    <w:rsid w:val="00750391"/>
    <w:rsid w:val="00760F9C"/>
    <w:rsid w:val="007616BB"/>
    <w:rsid w:val="00761BB3"/>
    <w:rsid w:val="0076242E"/>
    <w:rsid w:val="007640B0"/>
    <w:rsid w:val="0076469C"/>
    <w:rsid w:val="00765439"/>
    <w:rsid w:val="007704A3"/>
    <w:rsid w:val="0077282B"/>
    <w:rsid w:val="00773920"/>
    <w:rsid w:val="00773C36"/>
    <w:rsid w:val="00776539"/>
    <w:rsid w:val="007840F0"/>
    <w:rsid w:val="0078537C"/>
    <w:rsid w:val="00787EA1"/>
    <w:rsid w:val="00793D9F"/>
    <w:rsid w:val="0079601A"/>
    <w:rsid w:val="007A027B"/>
    <w:rsid w:val="007A1291"/>
    <w:rsid w:val="007A6D69"/>
    <w:rsid w:val="007B1812"/>
    <w:rsid w:val="007B77CB"/>
    <w:rsid w:val="007B79AD"/>
    <w:rsid w:val="007C0738"/>
    <w:rsid w:val="007C0C11"/>
    <w:rsid w:val="007C0FAA"/>
    <w:rsid w:val="007C14E4"/>
    <w:rsid w:val="007C3A61"/>
    <w:rsid w:val="007C400E"/>
    <w:rsid w:val="007C41CC"/>
    <w:rsid w:val="007C4268"/>
    <w:rsid w:val="007C48ED"/>
    <w:rsid w:val="007C54EF"/>
    <w:rsid w:val="007C5ABE"/>
    <w:rsid w:val="007C6C77"/>
    <w:rsid w:val="007D2B6C"/>
    <w:rsid w:val="007D5807"/>
    <w:rsid w:val="007D7E3E"/>
    <w:rsid w:val="007E0FBB"/>
    <w:rsid w:val="007E27D2"/>
    <w:rsid w:val="007E7AB5"/>
    <w:rsid w:val="007F306F"/>
    <w:rsid w:val="008002E1"/>
    <w:rsid w:val="0080313A"/>
    <w:rsid w:val="00803BC3"/>
    <w:rsid w:val="00806DA0"/>
    <w:rsid w:val="00806F2B"/>
    <w:rsid w:val="00810F5D"/>
    <w:rsid w:val="00813C2C"/>
    <w:rsid w:val="00813DD0"/>
    <w:rsid w:val="0081429D"/>
    <w:rsid w:val="008143D8"/>
    <w:rsid w:val="00815267"/>
    <w:rsid w:val="008161D6"/>
    <w:rsid w:val="00816432"/>
    <w:rsid w:val="00826316"/>
    <w:rsid w:val="00826D88"/>
    <w:rsid w:val="00826FE0"/>
    <w:rsid w:val="00827491"/>
    <w:rsid w:val="00830F23"/>
    <w:rsid w:val="00831D29"/>
    <w:rsid w:val="008344CD"/>
    <w:rsid w:val="00836F30"/>
    <w:rsid w:val="0084119C"/>
    <w:rsid w:val="00841319"/>
    <w:rsid w:val="0084281E"/>
    <w:rsid w:val="008440C4"/>
    <w:rsid w:val="008450EE"/>
    <w:rsid w:val="0084661D"/>
    <w:rsid w:val="00846D79"/>
    <w:rsid w:val="008472C0"/>
    <w:rsid w:val="008500E5"/>
    <w:rsid w:val="00852B3B"/>
    <w:rsid w:val="0085326D"/>
    <w:rsid w:val="0085431C"/>
    <w:rsid w:val="00854F7A"/>
    <w:rsid w:val="008635E7"/>
    <w:rsid w:val="008666CA"/>
    <w:rsid w:val="0087274A"/>
    <w:rsid w:val="008744BA"/>
    <w:rsid w:val="00877DCB"/>
    <w:rsid w:val="008802AC"/>
    <w:rsid w:val="00881AD0"/>
    <w:rsid w:val="00885AD3"/>
    <w:rsid w:val="008867CD"/>
    <w:rsid w:val="00886FED"/>
    <w:rsid w:val="00890E8B"/>
    <w:rsid w:val="00892FD4"/>
    <w:rsid w:val="0089326B"/>
    <w:rsid w:val="008951C3"/>
    <w:rsid w:val="008958DF"/>
    <w:rsid w:val="008A01C0"/>
    <w:rsid w:val="008A04F6"/>
    <w:rsid w:val="008A1E77"/>
    <w:rsid w:val="008A2EDE"/>
    <w:rsid w:val="008A3B22"/>
    <w:rsid w:val="008A472F"/>
    <w:rsid w:val="008A63B6"/>
    <w:rsid w:val="008A790E"/>
    <w:rsid w:val="008A7AA1"/>
    <w:rsid w:val="008B1111"/>
    <w:rsid w:val="008B2C9B"/>
    <w:rsid w:val="008B36E6"/>
    <w:rsid w:val="008B3A5C"/>
    <w:rsid w:val="008B65DB"/>
    <w:rsid w:val="008C0E65"/>
    <w:rsid w:val="008C35C8"/>
    <w:rsid w:val="008C368E"/>
    <w:rsid w:val="008C4B00"/>
    <w:rsid w:val="008D1004"/>
    <w:rsid w:val="008D1768"/>
    <w:rsid w:val="008D70AF"/>
    <w:rsid w:val="008E57DC"/>
    <w:rsid w:val="008E5C56"/>
    <w:rsid w:val="008E6D05"/>
    <w:rsid w:val="008F095C"/>
    <w:rsid w:val="008F1EC9"/>
    <w:rsid w:val="008F3114"/>
    <w:rsid w:val="008F4CF0"/>
    <w:rsid w:val="008F5950"/>
    <w:rsid w:val="00903772"/>
    <w:rsid w:val="0090556A"/>
    <w:rsid w:val="00905B7F"/>
    <w:rsid w:val="00907095"/>
    <w:rsid w:val="00910F20"/>
    <w:rsid w:val="0091127E"/>
    <w:rsid w:val="00912174"/>
    <w:rsid w:val="00913725"/>
    <w:rsid w:val="00914A85"/>
    <w:rsid w:val="0091652D"/>
    <w:rsid w:val="00916EAE"/>
    <w:rsid w:val="0092250E"/>
    <w:rsid w:val="00922B6C"/>
    <w:rsid w:val="0092403B"/>
    <w:rsid w:val="00924BAC"/>
    <w:rsid w:val="0092534B"/>
    <w:rsid w:val="0092780A"/>
    <w:rsid w:val="00930CFA"/>
    <w:rsid w:val="00931AC8"/>
    <w:rsid w:val="00935159"/>
    <w:rsid w:val="009431D4"/>
    <w:rsid w:val="009447CB"/>
    <w:rsid w:val="00947336"/>
    <w:rsid w:val="0095066C"/>
    <w:rsid w:val="0095083E"/>
    <w:rsid w:val="00950BB1"/>
    <w:rsid w:val="00955DF6"/>
    <w:rsid w:val="00956145"/>
    <w:rsid w:val="009572F3"/>
    <w:rsid w:val="0096058E"/>
    <w:rsid w:val="00960EC2"/>
    <w:rsid w:val="00963241"/>
    <w:rsid w:val="00963AA5"/>
    <w:rsid w:val="009669B5"/>
    <w:rsid w:val="0096722C"/>
    <w:rsid w:val="0096785E"/>
    <w:rsid w:val="00973AB4"/>
    <w:rsid w:val="00976E18"/>
    <w:rsid w:val="00977121"/>
    <w:rsid w:val="009879E6"/>
    <w:rsid w:val="00990CDF"/>
    <w:rsid w:val="00991DF0"/>
    <w:rsid w:val="009A0360"/>
    <w:rsid w:val="009A1D2D"/>
    <w:rsid w:val="009A2FCF"/>
    <w:rsid w:val="009A3EA2"/>
    <w:rsid w:val="009A5E00"/>
    <w:rsid w:val="009A6C81"/>
    <w:rsid w:val="009B0E16"/>
    <w:rsid w:val="009B30CF"/>
    <w:rsid w:val="009B3FF5"/>
    <w:rsid w:val="009B4A36"/>
    <w:rsid w:val="009C26B7"/>
    <w:rsid w:val="009C3749"/>
    <w:rsid w:val="009D0AB1"/>
    <w:rsid w:val="009D5C55"/>
    <w:rsid w:val="009D6246"/>
    <w:rsid w:val="009D653D"/>
    <w:rsid w:val="009E08F1"/>
    <w:rsid w:val="009E0BAE"/>
    <w:rsid w:val="009E3518"/>
    <w:rsid w:val="009E65F2"/>
    <w:rsid w:val="009F0653"/>
    <w:rsid w:val="009F1E58"/>
    <w:rsid w:val="009F3508"/>
    <w:rsid w:val="009F4A45"/>
    <w:rsid w:val="009F59D5"/>
    <w:rsid w:val="009F5E71"/>
    <w:rsid w:val="009F7FA3"/>
    <w:rsid w:val="00A02C06"/>
    <w:rsid w:val="00A04A7A"/>
    <w:rsid w:val="00A05211"/>
    <w:rsid w:val="00A05F50"/>
    <w:rsid w:val="00A06440"/>
    <w:rsid w:val="00A13539"/>
    <w:rsid w:val="00A22A6B"/>
    <w:rsid w:val="00A23744"/>
    <w:rsid w:val="00A247FD"/>
    <w:rsid w:val="00A26D34"/>
    <w:rsid w:val="00A26F4D"/>
    <w:rsid w:val="00A305C3"/>
    <w:rsid w:val="00A312BE"/>
    <w:rsid w:val="00A376FF"/>
    <w:rsid w:val="00A41E67"/>
    <w:rsid w:val="00A478BF"/>
    <w:rsid w:val="00A51512"/>
    <w:rsid w:val="00A53233"/>
    <w:rsid w:val="00A551DC"/>
    <w:rsid w:val="00A565DE"/>
    <w:rsid w:val="00A57DBA"/>
    <w:rsid w:val="00A67175"/>
    <w:rsid w:val="00A70683"/>
    <w:rsid w:val="00A7150E"/>
    <w:rsid w:val="00A7469F"/>
    <w:rsid w:val="00A74F8D"/>
    <w:rsid w:val="00A84C18"/>
    <w:rsid w:val="00A85875"/>
    <w:rsid w:val="00A876BE"/>
    <w:rsid w:val="00A90359"/>
    <w:rsid w:val="00A927B3"/>
    <w:rsid w:val="00A92F14"/>
    <w:rsid w:val="00A964E5"/>
    <w:rsid w:val="00A97B9F"/>
    <w:rsid w:val="00A97E23"/>
    <w:rsid w:val="00AA354A"/>
    <w:rsid w:val="00AA5860"/>
    <w:rsid w:val="00AA6A0A"/>
    <w:rsid w:val="00AA6DA5"/>
    <w:rsid w:val="00AB1804"/>
    <w:rsid w:val="00AB2F9F"/>
    <w:rsid w:val="00AB2FBE"/>
    <w:rsid w:val="00AB4EB4"/>
    <w:rsid w:val="00AB726C"/>
    <w:rsid w:val="00AC08B2"/>
    <w:rsid w:val="00AC08FC"/>
    <w:rsid w:val="00AC22C4"/>
    <w:rsid w:val="00AC44EE"/>
    <w:rsid w:val="00AC4D82"/>
    <w:rsid w:val="00AC5859"/>
    <w:rsid w:val="00AC6481"/>
    <w:rsid w:val="00AD1212"/>
    <w:rsid w:val="00AD6406"/>
    <w:rsid w:val="00AE0533"/>
    <w:rsid w:val="00AE7CE8"/>
    <w:rsid w:val="00AF0779"/>
    <w:rsid w:val="00AF0C01"/>
    <w:rsid w:val="00AF3B40"/>
    <w:rsid w:val="00AF5C10"/>
    <w:rsid w:val="00AF63E5"/>
    <w:rsid w:val="00AF7B9E"/>
    <w:rsid w:val="00B000C5"/>
    <w:rsid w:val="00B00FEE"/>
    <w:rsid w:val="00B02880"/>
    <w:rsid w:val="00B05760"/>
    <w:rsid w:val="00B07D22"/>
    <w:rsid w:val="00B10277"/>
    <w:rsid w:val="00B118AB"/>
    <w:rsid w:val="00B12289"/>
    <w:rsid w:val="00B13DB3"/>
    <w:rsid w:val="00B1704D"/>
    <w:rsid w:val="00B21BB7"/>
    <w:rsid w:val="00B22177"/>
    <w:rsid w:val="00B23D55"/>
    <w:rsid w:val="00B24FD6"/>
    <w:rsid w:val="00B277A6"/>
    <w:rsid w:val="00B30482"/>
    <w:rsid w:val="00B31A2F"/>
    <w:rsid w:val="00B35BE6"/>
    <w:rsid w:val="00B36860"/>
    <w:rsid w:val="00B36A49"/>
    <w:rsid w:val="00B4187E"/>
    <w:rsid w:val="00B42AED"/>
    <w:rsid w:val="00B4465B"/>
    <w:rsid w:val="00B47B70"/>
    <w:rsid w:val="00B47BBE"/>
    <w:rsid w:val="00B53BF4"/>
    <w:rsid w:val="00B5513D"/>
    <w:rsid w:val="00B568B5"/>
    <w:rsid w:val="00B628EE"/>
    <w:rsid w:val="00B661EA"/>
    <w:rsid w:val="00B70514"/>
    <w:rsid w:val="00B70747"/>
    <w:rsid w:val="00B72A9C"/>
    <w:rsid w:val="00B73C81"/>
    <w:rsid w:val="00B752E7"/>
    <w:rsid w:val="00B7771F"/>
    <w:rsid w:val="00B80981"/>
    <w:rsid w:val="00B86C75"/>
    <w:rsid w:val="00B87B2A"/>
    <w:rsid w:val="00B9171D"/>
    <w:rsid w:val="00B93753"/>
    <w:rsid w:val="00B962C1"/>
    <w:rsid w:val="00B96BFC"/>
    <w:rsid w:val="00BA062E"/>
    <w:rsid w:val="00BA0D3A"/>
    <w:rsid w:val="00BA33F9"/>
    <w:rsid w:val="00BA4978"/>
    <w:rsid w:val="00BA5240"/>
    <w:rsid w:val="00BA6088"/>
    <w:rsid w:val="00BB0EE5"/>
    <w:rsid w:val="00BB1937"/>
    <w:rsid w:val="00BB36B7"/>
    <w:rsid w:val="00BB4954"/>
    <w:rsid w:val="00BB6594"/>
    <w:rsid w:val="00BB679C"/>
    <w:rsid w:val="00BB7D8B"/>
    <w:rsid w:val="00BC27F3"/>
    <w:rsid w:val="00BC31C2"/>
    <w:rsid w:val="00BC6CFE"/>
    <w:rsid w:val="00BD023C"/>
    <w:rsid w:val="00BD1370"/>
    <w:rsid w:val="00BD1466"/>
    <w:rsid w:val="00BD33AC"/>
    <w:rsid w:val="00BD41F1"/>
    <w:rsid w:val="00BD4CEF"/>
    <w:rsid w:val="00BD7083"/>
    <w:rsid w:val="00BD7642"/>
    <w:rsid w:val="00BE19FA"/>
    <w:rsid w:val="00BE2C2A"/>
    <w:rsid w:val="00BE4BD9"/>
    <w:rsid w:val="00BE52AB"/>
    <w:rsid w:val="00BE7DD6"/>
    <w:rsid w:val="00BF1C75"/>
    <w:rsid w:val="00BF5577"/>
    <w:rsid w:val="00C006EE"/>
    <w:rsid w:val="00C01F00"/>
    <w:rsid w:val="00C028AE"/>
    <w:rsid w:val="00C03F41"/>
    <w:rsid w:val="00C040E4"/>
    <w:rsid w:val="00C04F31"/>
    <w:rsid w:val="00C05094"/>
    <w:rsid w:val="00C06FC3"/>
    <w:rsid w:val="00C11330"/>
    <w:rsid w:val="00C16315"/>
    <w:rsid w:val="00C16356"/>
    <w:rsid w:val="00C17EFE"/>
    <w:rsid w:val="00C213BA"/>
    <w:rsid w:val="00C21ADE"/>
    <w:rsid w:val="00C225BD"/>
    <w:rsid w:val="00C24DBC"/>
    <w:rsid w:val="00C27421"/>
    <w:rsid w:val="00C3011D"/>
    <w:rsid w:val="00C32CA9"/>
    <w:rsid w:val="00C33522"/>
    <w:rsid w:val="00C34C5E"/>
    <w:rsid w:val="00C35AC3"/>
    <w:rsid w:val="00C35D2D"/>
    <w:rsid w:val="00C368C5"/>
    <w:rsid w:val="00C37915"/>
    <w:rsid w:val="00C37BB6"/>
    <w:rsid w:val="00C51046"/>
    <w:rsid w:val="00C520A0"/>
    <w:rsid w:val="00C537B3"/>
    <w:rsid w:val="00C53DC4"/>
    <w:rsid w:val="00C612A0"/>
    <w:rsid w:val="00C61744"/>
    <w:rsid w:val="00C6274D"/>
    <w:rsid w:val="00C64569"/>
    <w:rsid w:val="00C65E60"/>
    <w:rsid w:val="00C67E2F"/>
    <w:rsid w:val="00C720F2"/>
    <w:rsid w:val="00C74EE2"/>
    <w:rsid w:val="00C75B93"/>
    <w:rsid w:val="00C768DC"/>
    <w:rsid w:val="00C77720"/>
    <w:rsid w:val="00C77E14"/>
    <w:rsid w:val="00C80380"/>
    <w:rsid w:val="00C80523"/>
    <w:rsid w:val="00C80B8C"/>
    <w:rsid w:val="00C80C0F"/>
    <w:rsid w:val="00C909B6"/>
    <w:rsid w:val="00C920D7"/>
    <w:rsid w:val="00C92374"/>
    <w:rsid w:val="00C937F7"/>
    <w:rsid w:val="00C94003"/>
    <w:rsid w:val="00C94837"/>
    <w:rsid w:val="00CA02A8"/>
    <w:rsid w:val="00CA568E"/>
    <w:rsid w:val="00CA5998"/>
    <w:rsid w:val="00CB006E"/>
    <w:rsid w:val="00CB0CA6"/>
    <w:rsid w:val="00CB13DA"/>
    <w:rsid w:val="00CB48AA"/>
    <w:rsid w:val="00CB5FAA"/>
    <w:rsid w:val="00CC0948"/>
    <w:rsid w:val="00CC4D3E"/>
    <w:rsid w:val="00CC5F0D"/>
    <w:rsid w:val="00CC6680"/>
    <w:rsid w:val="00CC7149"/>
    <w:rsid w:val="00CC7389"/>
    <w:rsid w:val="00CC7D2A"/>
    <w:rsid w:val="00CD0658"/>
    <w:rsid w:val="00CD31B4"/>
    <w:rsid w:val="00CE2CE7"/>
    <w:rsid w:val="00CE2E45"/>
    <w:rsid w:val="00CE4BAE"/>
    <w:rsid w:val="00CF205E"/>
    <w:rsid w:val="00CF2359"/>
    <w:rsid w:val="00CF2AC7"/>
    <w:rsid w:val="00CF5DD5"/>
    <w:rsid w:val="00CF7756"/>
    <w:rsid w:val="00CF7AD4"/>
    <w:rsid w:val="00D05EBD"/>
    <w:rsid w:val="00D063DF"/>
    <w:rsid w:val="00D06921"/>
    <w:rsid w:val="00D06CB7"/>
    <w:rsid w:val="00D06CC1"/>
    <w:rsid w:val="00D124B8"/>
    <w:rsid w:val="00D12C61"/>
    <w:rsid w:val="00D14C32"/>
    <w:rsid w:val="00D1503D"/>
    <w:rsid w:val="00D15408"/>
    <w:rsid w:val="00D15556"/>
    <w:rsid w:val="00D20B8C"/>
    <w:rsid w:val="00D2198C"/>
    <w:rsid w:val="00D3004C"/>
    <w:rsid w:val="00D303F8"/>
    <w:rsid w:val="00D34845"/>
    <w:rsid w:val="00D35C6B"/>
    <w:rsid w:val="00D3687F"/>
    <w:rsid w:val="00D36F49"/>
    <w:rsid w:val="00D379BB"/>
    <w:rsid w:val="00D40DA6"/>
    <w:rsid w:val="00D44715"/>
    <w:rsid w:val="00D453DF"/>
    <w:rsid w:val="00D460A7"/>
    <w:rsid w:val="00D514F1"/>
    <w:rsid w:val="00D5178C"/>
    <w:rsid w:val="00D51F43"/>
    <w:rsid w:val="00D54503"/>
    <w:rsid w:val="00D55FD1"/>
    <w:rsid w:val="00D62485"/>
    <w:rsid w:val="00D62597"/>
    <w:rsid w:val="00D70387"/>
    <w:rsid w:val="00D74B99"/>
    <w:rsid w:val="00D774B3"/>
    <w:rsid w:val="00D800DD"/>
    <w:rsid w:val="00D80C20"/>
    <w:rsid w:val="00D8655D"/>
    <w:rsid w:val="00D87B6F"/>
    <w:rsid w:val="00D91E1D"/>
    <w:rsid w:val="00D92624"/>
    <w:rsid w:val="00D94673"/>
    <w:rsid w:val="00D947B6"/>
    <w:rsid w:val="00D94BB6"/>
    <w:rsid w:val="00D97FBA"/>
    <w:rsid w:val="00DA1319"/>
    <w:rsid w:val="00DA2733"/>
    <w:rsid w:val="00DA50F9"/>
    <w:rsid w:val="00DB2559"/>
    <w:rsid w:val="00DB33BC"/>
    <w:rsid w:val="00DB3850"/>
    <w:rsid w:val="00DB555B"/>
    <w:rsid w:val="00DB5BC6"/>
    <w:rsid w:val="00DC0DCD"/>
    <w:rsid w:val="00DC7DBB"/>
    <w:rsid w:val="00DD05B3"/>
    <w:rsid w:val="00DD2D5A"/>
    <w:rsid w:val="00DE1D56"/>
    <w:rsid w:val="00DE1F23"/>
    <w:rsid w:val="00DE3EEA"/>
    <w:rsid w:val="00DE651A"/>
    <w:rsid w:val="00DE72C5"/>
    <w:rsid w:val="00DF1650"/>
    <w:rsid w:val="00DF24DA"/>
    <w:rsid w:val="00DF420E"/>
    <w:rsid w:val="00DF5354"/>
    <w:rsid w:val="00DF5A91"/>
    <w:rsid w:val="00E01682"/>
    <w:rsid w:val="00E01ADC"/>
    <w:rsid w:val="00E01DB7"/>
    <w:rsid w:val="00E01E5D"/>
    <w:rsid w:val="00E02CF8"/>
    <w:rsid w:val="00E03AAA"/>
    <w:rsid w:val="00E0440D"/>
    <w:rsid w:val="00E048A0"/>
    <w:rsid w:val="00E06317"/>
    <w:rsid w:val="00E12E1E"/>
    <w:rsid w:val="00E13C67"/>
    <w:rsid w:val="00E148AD"/>
    <w:rsid w:val="00E1765C"/>
    <w:rsid w:val="00E20D16"/>
    <w:rsid w:val="00E20D56"/>
    <w:rsid w:val="00E2137C"/>
    <w:rsid w:val="00E21BB2"/>
    <w:rsid w:val="00E23679"/>
    <w:rsid w:val="00E23807"/>
    <w:rsid w:val="00E25164"/>
    <w:rsid w:val="00E26241"/>
    <w:rsid w:val="00E26672"/>
    <w:rsid w:val="00E307B4"/>
    <w:rsid w:val="00E31AC9"/>
    <w:rsid w:val="00E33FD8"/>
    <w:rsid w:val="00E3474B"/>
    <w:rsid w:val="00E34B2A"/>
    <w:rsid w:val="00E35AD5"/>
    <w:rsid w:val="00E4063D"/>
    <w:rsid w:val="00E45B3D"/>
    <w:rsid w:val="00E4625E"/>
    <w:rsid w:val="00E50411"/>
    <w:rsid w:val="00E5493D"/>
    <w:rsid w:val="00E56FCE"/>
    <w:rsid w:val="00E5759F"/>
    <w:rsid w:val="00E604E4"/>
    <w:rsid w:val="00E663F8"/>
    <w:rsid w:val="00E66D27"/>
    <w:rsid w:val="00E67EFE"/>
    <w:rsid w:val="00E753FC"/>
    <w:rsid w:val="00E7633C"/>
    <w:rsid w:val="00E7719A"/>
    <w:rsid w:val="00E84D47"/>
    <w:rsid w:val="00E85484"/>
    <w:rsid w:val="00E85C6A"/>
    <w:rsid w:val="00E8715B"/>
    <w:rsid w:val="00E9130A"/>
    <w:rsid w:val="00E93680"/>
    <w:rsid w:val="00E94583"/>
    <w:rsid w:val="00E96101"/>
    <w:rsid w:val="00E97604"/>
    <w:rsid w:val="00EA0B20"/>
    <w:rsid w:val="00EA0E13"/>
    <w:rsid w:val="00EA217C"/>
    <w:rsid w:val="00EB05A9"/>
    <w:rsid w:val="00EB0F8C"/>
    <w:rsid w:val="00EB3DE8"/>
    <w:rsid w:val="00EB7055"/>
    <w:rsid w:val="00EC26BF"/>
    <w:rsid w:val="00EC3179"/>
    <w:rsid w:val="00EC4A4D"/>
    <w:rsid w:val="00EC53F0"/>
    <w:rsid w:val="00EC686C"/>
    <w:rsid w:val="00ED0052"/>
    <w:rsid w:val="00ED4172"/>
    <w:rsid w:val="00ED42C8"/>
    <w:rsid w:val="00ED570A"/>
    <w:rsid w:val="00ED5836"/>
    <w:rsid w:val="00ED754F"/>
    <w:rsid w:val="00EE0D02"/>
    <w:rsid w:val="00EE121A"/>
    <w:rsid w:val="00EE1B26"/>
    <w:rsid w:val="00EE742E"/>
    <w:rsid w:val="00EF1D69"/>
    <w:rsid w:val="00EF3997"/>
    <w:rsid w:val="00EF3C15"/>
    <w:rsid w:val="00EF49CA"/>
    <w:rsid w:val="00EF51BF"/>
    <w:rsid w:val="00EF65C5"/>
    <w:rsid w:val="00F00AC8"/>
    <w:rsid w:val="00F02E52"/>
    <w:rsid w:val="00F12C0E"/>
    <w:rsid w:val="00F141A2"/>
    <w:rsid w:val="00F15864"/>
    <w:rsid w:val="00F15DAE"/>
    <w:rsid w:val="00F17BB2"/>
    <w:rsid w:val="00F218F9"/>
    <w:rsid w:val="00F231FC"/>
    <w:rsid w:val="00F2598E"/>
    <w:rsid w:val="00F264C8"/>
    <w:rsid w:val="00F2743F"/>
    <w:rsid w:val="00F30522"/>
    <w:rsid w:val="00F30B10"/>
    <w:rsid w:val="00F320C1"/>
    <w:rsid w:val="00F33058"/>
    <w:rsid w:val="00F331E5"/>
    <w:rsid w:val="00F35BD3"/>
    <w:rsid w:val="00F364F4"/>
    <w:rsid w:val="00F379B8"/>
    <w:rsid w:val="00F37DEB"/>
    <w:rsid w:val="00F43306"/>
    <w:rsid w:val="00F44753"/>
    <w:rsid w:val="00F4516F"/>
    <w:rsid w:val="00F5108E"/>
    <w:rsid w:val="00F53043"/>
    <w:rsid w:val="00F54433"/>
    <w:rsid w:val="00F544B0"/>
    <w:rsid w:val="00F56D3D"/>
    <w:rsid w:val="00F6076D"/>
    <w:rsid w:val="00F61CFB"/>
    <w:rsid w:val="00F64457"/>
    <w:rsid w:val="00F65D09"/>
    <w:rsid w:val="00F66ABE"/>
    <w:rsid w:val="00F74508"/>
    <w:rsid w:val="00F74773"/>
    <w:rsid w:val="00F74841"/>
    <w:rsid w:val="00F76768"/>
    <w:rsid w:val="00F76F69"/>
    <w:rsid w:val="00F814F6"/>
    <w:rsid w:val="00F85B33"/>
    <w:rsid w:val="00F860CD"/>
    <w:rsid w:val="00F86C59"/>
    <w:rsid w:val="00F92408"/>
    <w:rsid w:val="00F935D3"/>
    <w:rsid w:val="00F93CBE"/>
    <w:rsid w:val="00F973D0"/>
    <w:rsid w:val="00FA0DF5"/>
    <w:rsid w:val="00FA2860"/>
    <w:rsid w:val="00FA377B"/>
    <w:rsid w:val="00FA7617"/>
    <w:rsid w:val="00FB0B18"/>
    <w:rsid w:val="00FB0FAC"/>
    <w:rsid w:val="00FB3AB3"/>
    <w:rsid w:val="00FB4038"/>
    <w:rsid w:val="00FB5CDA"/>
    <w:rsid w:val="00FC0A35"/>
    <w:rsid w:val="00FC0B10"/>
    <w:rsid w:val="00FC12FA"/>
    <w:rsid w:val="00FC15BD"/>
    <w:rsid w:val="00FC29CA"/>
    <w:rsid w:val="00FC4B90"/>
    <w:rsid w:val="00FC591E"/>
    <w:rsid w:val="00FC648A"/>
    <w:rsid w:val="00FD26E6"/>
    <w:rsid w:val="00FD30E4"/>
    <w:rsid w:val="00FD4D51"/>
    <w:rsid w:val="00FD5E2E"/>
    <w:rsid w:val="00FE0384"/>
    <w:rsid w:val="00FE064B"/>
    <w:rsid w:val="00FE21BF"/>
    <w:rsid w:val="00FE2CE6"/>
    <w:rsid w:val="00FE3E39"/>
    <w:rsid w:val="00FF5518"/>
    <w:rsid w:val="00FF7F6A"/>
    <w:rsid w:val="01637618"/>
    <w:rsid w:val="01A90A53"/>
    <w:rsid w:val="01E1239A"/>
    <w:rsid w:val="02070F83"/>
    <w:rsid w:val="02E94027"/>
    <w:rsid w:val="02F868DE"/>
    <w:rsid w:val="03204FF9"/>
    <w:rsid w:val="032178C0"/>
    <w:rsid w:val="035D42FD"/>
    <w:rsid w:val="036F0830"/>
    <w:rsid w:val="039E2F96"/>
    <w:rsid w:val="04253585"/>
    <w:rsid w:val="047B7BA6"/>
    <w:rsid w:val="04B1349D"/>
    <w:rsid w:val="05746FE0"/>
    <w:rsid w:val="060E00C5"/>
    <w:rsid w:val="067C643D"/>
    <w:rsid w:val="06C61051"/>
    <w:rsid w:val="06DB3377"/>
    <w:rsid w:val="07913B05"/>
    <w:rsid w:val="07AB031A"/>
    <w:rsid w:val="07DE7DCA"/>
    <w:rsid w:val="07F54413"/>
    <w:rsid w:val="08BB5205"/>
    <w:rsid w:val="08E13152"/>
    <w:rsid w:val="0A184DBD"/>
    <w:rsid w:val="0A1B7037"/>
    <w:rsid w:val="0A970637"/>
    <w:rsid w:val="0A9D0AD5"/>
    <w:rsid w:val="0B1352DA"/>
    <w:rsid w:val="0B8D20B0"/>
    <w:rsid w:val="0BD02969"/>
    <w:rsid w:val="0C011D58"/>
    <w:rsid w:val="0C6E7313"/>
    <w:rsid w:val="0C7C449F"/>
    <w:rsid w:val="0CC375E0"/>
    <w:rsid w:val="0CED0086"/>
    <w:rsid w:val="0D183B12"/>
    <w:rsid w:val="0E173B71"/>
    <w:rsid w:val="0F357184"/>
    <w:rsid w:val="0F3712FF"/>
    <w:rsid w:val="0FBB5DDE"/>
    <w:rsid w:val="1118016C"/>
    <w:rsid w:val="116475F2"/>
    <w:rsid w:val="11D125FB"/>
    <w:rsid w:val="130A225D"/>
    <w:rsid w:val="13AC4D32"/>
    <w:rsid w:val="13CF7E90"/>
    <w:rsid w:val="14665B42"/>
    <w:rsid w:val="14C54A49"/>
    <w:rsid w:val="14D0235E"/>
    <w:rsid w:val="161B6E6B"/>
    <w:rsid w:val="16327A5E"/>
    <w:rsid w:val="166168CD"/>
    <w:rsid w:val="167B180E"/>
    <w:rsid w:val="16916CA6"/>
    <w:rsid w:val="17272884"/>
    <w:rsid w:val="17484407"/>
    <w:rsid w:val="17827020"/>
    <w:rsid w:val="19703555"/>
    <w:rsid w:val="19FB5A55"/>
    <w:rsid w:val="1A707E9E"/>
    <w:rsid w:val="1AC66A70"/>
    <w:rsid w:val="1BD14243"/>
    <w:rsid w:val="1BF278B2"/>
    <w:rsid w:val="1C0760F7"/>
    <w:rsid w:val="1C360387"/>
    <w:rsid w:val="1CA23DF6"/>
    <w:rsid w:val="1D495DAE"/>
    <w:rsid w:val="1D5B5CC5"/>
    <w:rsid w:val="1E4366C1"/>
    <w:rsid w:val="1EBD534E"/>
    <w:rsid w:val="1F8B345A"/>
    <w:rsid w:val="1FE80C1B"/>
    <w:rsid w:val="200A60D7"/>
    <w:rsid w:val="20E124FB"/>
    <w:rsid w:val="21D86361"/>
    <w:rsid w:val="22316876"/>
    <w:rsid w:val="22CF1755"/>
    <w:rsid w:val="23E551C6"/>
    <w:rsid w:val="24090B5A"/>
    <w:rsid w:val="24385E6E"/>
    <w:rsid w:val="24C44DA5"/>
    <w:rsid w:val="24F32F7C"/>
    <w:rsid w:val="2525289F"/>
    <w:rsid w:val="256B34D1"/>
    <w:rsid w:val="257B0515"/>
    <w:rsid w:val="25B3350E"/>
    <w:rsid w:val="261F3274"/>
    <w:rsid w:val="27A079BB"/>
    <w:rsid w:val="27B547E0"/>
    <w:rsid w:val="2808096F"/>
    <w:rsid w:val="29965658"/>
    <w:rsid w:val="29E164CB"/>
    <w:rsid w:val="2A227EE1"/>
    <w:rsid w:val="2B2C055B"/>
    <w:rsid w:val="2B4F6F14"/>
    <w:rsid w:val="2B745DA0"/>
    <w:rsid w:val="2BFD2995"/>
    <w:rsid w:val="2C813913"/>
    <w:rsid w:val="2D4203ED"/>
    <w:rsid w:val="2E31172D"/>
    <w:rsid w:val="2E655153"/>
    <w:rsid w:val="2EC47CE1"/>
    <w:rsid w:val="2EC79594"/>
    <w:rsid w:val="2EEF7E78"/>
    <w:rsid w:val="2F345037"/>
    <w:rsid w:val="2F3D3479"/>
    <w:rsid w:val="2F3D63FE"/>
    <w:rsid w:val="2FE71D95"/>
    <w:rsid w:val="2FF348F6"/>
    <w:rsid w:val="30640929"/>
    <w:rsid w:val="310A463E"/>
    <w:rsid w:val="316F7B35"/>
    <w:rsid w:val="31835FA6"/>
    <w:rsid w:val="31BF4623"/>
    <w:rsid w:val="322428D5"/>
    <w:rsid w:val="32C3115E"/>
    <w:rsid w:val="32FFDE5F"/>
    <w:rsid w:val="330D6812"/>
    <w:rsid w:val="333B5FEC"/>
    <w:rsid w:val="337E4D48"/>
    <w:rsid w:val="33F6361D"/>
    <w:rsid w:val="34614B33"/>
    <w:rsid w:val="3462760F"/>
    <w:rsid w:val="34EF5705"/>
    <w:rsid w:val="35283C78"/>
    <w:rsid w:val="354C252B"/>
    <w:rsid w:val="357F48E7"/>
    <w:rsid w:val="35B43457"/>
    <w:rsid w:val="35DFA44A"/>
    <w:rsid w:val="367F7372"/>
    <w:rsid w:val="374831D5"/>
    <w:rsid w:val="37570C48"/>
    <w:rsid w:val="377649D1"/>
    <w:rsid w:val="37963094"/>
    <w:rsid w:val="37AB25FD"/>
    <w:rsid w:val="382B0FBC"/>
    <w:rsid w:val="389134D4"/>
    <w:rsid w:val="39093463"/>
    <w:rsid w:val="3A8F0B01"/>
    <w:rsid w:val="3B574AE0"/>
    <w:rsid w:val="3BAD40A9"/>
    <w:rsid w:val="3C0677A6"/>
    <w:rsid w:val="3C853CA4"/>
    <w:rsid w:val="3CAD3660"/>
    <w:rsid w:val="3CF35B62"/>
    <w:rsid w:val="3CFEFE50"/>
    <w:rsid w:val="3D6BB74D"/>
    <w:rsid w:val="3DB79B75"/>
    <w:rsid w:val="3DC019B5"/>
    <w:rsid w:val="3DFE6F12"/>
    <w:rsid w:val="3E6B5E47"/>
    <w:rsid w:val="3EC47714"/>
    <w:rsid w:val="3ED82823"/>
    <w:rsid w:val="3F1E0B27"/>
    <w:rsid w:val="3F83660F"/>
    <w:rsid w:val="3F9C661A"/>
    <w:rsid w:val="400C7AFE"/>
    <w:rsid w:val="40183FC1"/>
    <w:rsid w:val="417F7A8D"/>
    <w:rsid w:val="4184502E"/>
    <w:rsid w:val="418B1323"/>
    <w:rsid w:val="41AC6AC2"/>
    <w:rsid w:val="42A667AB"/>
    <w:rsid w:val="42DA5907"/>
    <w:rsid w:val="432207EA"/>
    <w:rsid w:val="443F706D"/>
    <w:rsid w:val="446177E0"/>
    <w:rsid w:val="458459EB"/>
    <w:rsid w:val="46026606"/>
    <w:rsid w:val="46AD7F3C"/>
    <w:rsid w:val="47104568"/>
    <w:rsid w:val="47CC36C1"/>
    <w:rsid w:val="47F2737E"/>
    <w:rsid w:val="48092F75"/>
    <w:rsid w:val="48395EB4"/>
    <w:rsid w:val="48554846"/>
    <w:rsid w:val="48BE14CF"/>
    <w:rsid w:val="4952312D"/>
    <w:rsid w:val="496C211C"/>
    <w:rsid w:val="49731BD4"/>
    <w:rsid w:val="49A3441B"/>
    <w:rsid w:val="4A3174F1"/>
    <w:rsid w:val="4AA24D11"/>
    <w:rsid w:val="4B5347E2"/>
    <w:rsid w:val="4B6D6DC2"/>
    <w:rsid w:val="4C073BC9"/>
    <w:rsid w:val="4CAE0DCC"/>
    <w:rsid w:val="4D165DE4"/>
    <w:rsid w:val="4D950FE1"/>
    <w:rsid w:val="4ECB16D8"/>
    <w:rsid w:val="4F9544DD"/>
    <w:rsid w:val="4FDD47EE"/>
    <w:rsid w:val="4FFFF83C"/>
    <w:rsid w:val="50394E0E"/>
    <w:rsid w:val="504D0CE4"/>
    <w:rsid w:val="505D7B46"/>
    <w:rsid w:val="511C7AF2"/>
    <w:rsid w:val="51CA4FF0"/>
    <w:rsid w:val="51F20656"/>
    <w:rsid w:val="52566964"/>
    <w:rsid w:val="530A2459"/>
    <w:rsid w:val="544371F9"/>
    <w:rsid w:val="545D1E6C"/>
    <w:rsid w:val="54DE6ED3"/>
    <w:rsid w:val="55237B97"/>
    <w:rsid w:val="552718CB"/>
    <w:rsid w:val="55850621"/>
    <w:rsid w:val="55894329"/>
    <w:rsid w:val="55B245EC"/>
    <w:rsid w:val="561B20C2"/>
    <w:rsid w:val="56723774"/>
    <w:rsid w:val="57D05FFD"/>
    <w:rsid w:val="58980A32"/>
    <w:rsid w:val="5A0B4401"/>
    <w:rsid w:val="5A4103CC"/>
    <w:rsid w:val="5A9F4A34"/>
    <w:rsid w:val="5AEE00D2"/>
    <w:rsid w:val="5B5F5910"/>
    <w:rsid w:val="5BD44E00"/>
    <w:rsid w:val="5CD71288"/>
    <w:rsid w:val="5D4E2AFD"/>
    <w:rsid w:val="5DF172ED"/>
    <w:rsid w:val="5DFF9890"/>
    <w:rsid w:val="5E1F67D4"/>
    <w:rsid w:val="5E216A2A"/>
    <w:rsid w:val="5E3F715F"/>
    <w:rsid w:val="5E475EC1"/>
    <w:rsid w:val="5E7E1935"/>
    <w:rsid w:val="5E861B58"/>
    <w:rsid w:val="5EA274D3"/>
    <w:rsid w:val="5ECB1202"/>
    <w:rsid w:val="5EEC5508"/>
    <w:rsid w:val="5F1F4D12"/>
    <w:rsid w:val="5F7F4784"/>
    <w:rsid w:val="6065721B"/>
    <w:rsid w:val="607A6AB2"/>
    <w:rsid w:val="60830289"/>
    <w:rsid w:val="60937A82"/>
    <w:rsid w:val="60BA329E"/>
    <w:rsid w:val="61401CA0"/>
    <w:rsid w:val="614D4A6A"/>
    <w:rsid w:val="61A32147"/>
    <w:rsid w:val="628D65B5"/>
    <w:rsid w:val="63223E72"/>
    <w:rsid w:val="64017359"/>
    <w:rsid w:val="642B6C5A"/>
    <w:rsid w:val="645D7C66"/>
    <w:rsid w:val="655537C5"/>
    <w:rsid w:val="65591A0C"/>
    <w:rsid w:val="6618546A"/>
    <w:rsid w:val="661E3073"/>
    <w:rsid w:val="66387518"/>
    <w:rsid w:val="66A53D66"/>
    <w:rsid w:val="66DA13EA"/>
    <w:rsid w:val="66FC66CB"/>
    <w:rsid w:val="67C10CFF"/>
    <w:rsid w:val="67EB4B1C"/>
    <w:rsid w:val="68020249"/>
    <w:rsid w:val="68743A6F"/>
    <w:rsid w:val="687B23CF"/>
    <w:rsid w:val="68DE716C"/>
    <w:rsid w:val="693E4B72"/>
    <w:rsid w:val="694450F5"/>
    <w:rsid w:val="6AEC3F22"/>
    <w:rsid w:val="6B0B161D"/>
    <w:rsid w:val="6B245D14"/>
    <w:rsid w:val="6B484EF3"/>
    <w:rsid w:val="6B5F8680"/>
    <w:rsid w:val="6BC47FE9"/>
    <w:rsid w:val="6C0134E2"/>
    <w:rsid w:val="6C264D8D"/>
    <w:rsid w:val="6C762594"/>
    <w:rsid w:val="6D364599"/>
    <w:rsid w:val="6E9E7271"/>
    <w:rsid w:val="6EB01F69"/>
    <w:rsid w:val="6F773589"/>
    <w:rsid w:val="704471C6"/>
    <w:rsid w:val="70A313D5"/>
    <w:rsid w:val="71023015"/>
    <w:rsid w:val="718A7B4D"/>
    <w:rsid w:val="71993BFD"/>
    <w:rsid w:val="71C7662F"/>
    <w:rsid w:val="72202038"/>
    <w:rsid w:val="72C75B05"/>
    <w:rsid w:val="731D129C"/>
    <w:rsid w:val="738B638E"/>
    <w:rsid w:val="73EACCBA"/>
    <w:rsid w:val="747A4378"/>
    <w:rsid w:val="749921EB"/>
    <w:rsid w:val="749F67B4"/>
    <w:rsid w:val="74C31591"/>
    <w:rsid w:val="74E61561"/>
    <w:rsid w:val="74F43610"/>
    <w:rsid w:val="767823A6"/>
    <w:rsid w:val="76C26F81"/>
    <w:rsid w:val="76C9228A"/>
    <w:rsid w:val="77327F3D"/>
    <w:rsid w:val="77911079"/>
    <w:rsid w:val="77EA4D76"/>
    <w:rsid w:val="79EB6D7E"/>
    <w:rsid w:val="79FDE391"/>
    <w:rsid w:val="7A40239E"/>
    <w:rsid w:val="7A597C79"/>
    <w:rsid w:val="7A631849"/>
    <w:rsid w:val="7A9F46FF"/>
    <w:rsid w:val="7AA376A5"/>
    <w:rsid w:val="7B7B332E"/>
    <w:rsid w:val="7BFFC098"/>
    <w:rsid w:val="7C5E42B6"/>
    <w:rsid w:val="7C866C17"/>
    <w:rsid w:val="7C987CDF"/>
    <w:rsid w:val="7CF34C06"/>
    <w:rsid w:val="7DDEE694"/>
    <w:rsid w:val="7E062F4A"/>
    <w:rsid w:val="7E3FE440"/>
    <w:rsid w:val="7EBB2B97"/>
    <w:rsid w:val="7F467ABB"/>
    <w:rsid w:val="7F62B353"/>
    <w:rsid w:val="7FFDE98A"/>
    <w:rsid w:val="9BBE5D32"/>
    <w:rsid w:val="B63D7B1D"/>
    <w:rsid w:val="B76FF68D"/>
    <w:rsid w:val="B9AF8C99"/>
    <w:rsid w:val="CFF50CAA"/>
    <w:rsid w:val="D43B4B96"/>
    <w:rsid w:val="DEED1B72"/>
    <w:rsid w:val="E7ACD0D3"/>
    <w:rsid w:val="EEFB47EF"/>
    <w:rsid w:val="EFFF52A1"/>
    <w:rsid w:val="F2BFBDA2"/>
    <w:rsid w:val="F6AF808E"/>
    <w:rsid w:val="F7F7167F"/>
    <w:rsid w:val="FBFC4091"/>
    <w:rsid w:val="FCB8AB99"/>
    <w:rsid w:val="FD6D91A1"/>
    <w:rsid w:val="FE4E2036"/>
    <w:rsid w:val="FEFFDDBA"/>
    <w:rsid w:val="FF544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6"/>
      <w:szCs w:val="36"/>
      <w:lang w:val="zh-CN"/>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semiHidden/>
    <w:unhideWhenUsed/>
    <w:qFormat/>
    <w:uiPriority w:val="0"/>
    <w:pPr>
      <w:keepNext/>
      <w:keepLines/>
      <w:ind w:firstLine="880"/>
      <w:outlineLvl w:val="3"/>
    </w:pPr>
    <w:rPr>
      <w:rFonts w:ascii="Times New Roman" w:hAnsi="Times New Roman"/>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unhideWhenUsed/>
    <w:qFormat/>
    <w:uiPriority w:val="0"/>
    <w:rPr>
      <w:b/>
      <w:bCs/>
    </w:rPr>
  </w:style>
  <w:style w:type="paragraph" w:styleId="6">
    <w:name w:val="annotation text"/>
    <w:basedOn w:val="1"/>
    <w:link w:val="27"/>
    <w:unhideWhenUsed/>
    <w:qFormat/>
    <w:uiPriority w:val="0"/>
    <w:pPr>
      <w:jc w:val="left"/>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spacing w:before="100" w:beforeAutospacing="1" w:after="119"/>
      <w:jc w:val="left"/>
    </w:pPr>
    <w:rPr>
      <w:rFonts w:ascii="宋体" w:hAnsi="宋体" w:cs="宋体"/>
      <w:kern w:val="0"/>
      <w:sz w:val="24"/>
    </w:rPr>
  </w:style>
  <w:style w:type="character" w:styleId="14">
    <w:name w:val="page number"/>
    <w:basedOn w:val="13"/>
    <w:qFormat/>
    <w:uiPriority w:val="0"/>
  </w:style>
  <w:style w:type="character" w:styleId="15">
    <w:name w:val="Hyperlink"/>
    <w:qFormat/>
    <w:uiPriority w:val="99"/>
    <w:rPr>
      <w:color w:val="0000FF"/>
      <w:u w:val="single"/>
    </w:rPr>
  </w:style>
  <w:style w:type="character" w:styleId="16">
    <w:name w:val="annotation reference"/>
    <w:basedOn w:val="13"/>
    <w:unhideWhenUsed/>
    <w:qFormat/>
    <w:uiPriority w:val="0"/>
    <w:rPr>
      <w:sz w:val="21"/>
      <w:szCs w:val="21"/>
    </w:rPr>
  </w:style>
  <w:style w:type="paragraph" w:customStyle="1" w:styleId="18">
    <w:name w:val="_Style 3"/>
    <w:basedOn w:val="3"/>
    <w:next w:val="1"/>
    <w:qFormat/>
    <w:uiPriority w:val="39"/>
    <w:pPr>
      <w:widowControl/>
      <w:numPr>
        <w:numId w:val="0"/>
      </w:numPr>
      <w:spacing w:before="240" w:after="0" w:line="259" w:lineRule="auto"/>
      <w:jc w:val="left"/>
      <w:outlineLvl w:val="9"/>
    </w:pPr>
    <w:rPr>
      <w:rFonts w:ascii="等线 Light" w:hAnsi="等线 Light" w:eastAsia="等线 Light" w:cs="Times New Roman"/>
      <w:b w:val="0"/>
      <w:bCs w:val="0"/>
      <w:color w:val="2E74B5"/>
      <w:kern w:val="0"/>
      <w:sz w:val="32"/>
      <w:szCs w:val="32"/>
      <w:lang w:val="en-US"/>
    </w:rPr>
  </w:style>
  <w:style w:type="paragraph" w:customStyle="1" w:styleId="19">
    <w:name w:val="列出段落1"/>
    <w:basedOn w:val="1"/>
    <w:qFormat/>
    <w:uiPriority w:val="34"/>
    <w:pPr>
      <w:ind w:firstLine="420" w:firstLineChars="200"/>
    </w:pPr>
    <w:rPr>
      <w:szCs w:val="22"/>
    </w:rPr>
  </w:style>
  <w:style w:type="paragraph" w:customStyle="1" w:styleId="20">
    <w:name w:val="xiao b"/>
    <w:basedOn w:val="1"/>
    <w:qFormat/>
    <w:uiPriority w:val="0"/>
    <w:pPr>
      <w:jc w:val="center"/>
    </w:pPr>
    <w:rPr>
      <w:rFonts w:ascii="Times New Roman" w:hAnsi="Times New Roman" w:eastAsia="黑体" w:cs="Times New Roman"/>
      <w:sz w:val="24"/>
      <w:szCs w:val="20"/>
    </w:rPr>
  </w:style>
  <w:style w:type="paragraph" w:customStyle="1" w:styleId="21">
    <w:name w:val="样式"/>
    <w:qFormat/>
    <w:uiPriority w:val="0"/>
    <w:pPr>
      <w:widowControl w:val="0"/>
      <w:autoSpaceDE w:val="0"/>
      <w:autoSpaceDN w:val="0"/>
      <w:adjustRightInd w:val="0"/>
    </w:pPr>
    <w:rPr>
      <w:rFonts w:ascii="宋体" w:hAnsi="宋体" w:eastAsiaTheme="minorEastAsia" w:cstheme="minorBidi"/>
      <w:kern w:val="2"/>
      <w:sz w:val="24"/>
      <w:szCs w:val="24"/>
      <w:lang w:val="en-US" w:eastAsia="zh-CN" w:bidi="ar-SA"/>
    </w:rPr>
  </w:style>
  <w:style w:type="character" w:customStyle="1" w:styleId="22">
    <w:name w:val="批注框文本 字符"/>
    <w:basedOn w:val="13"/>
    <w:link w:val="7"/>
    <w:qFormat/>
    <w:uiPriority w:val="0"/>
    <w:rPr>
      <w:kern w:val="2"/>
      <w:sz w:val="18"/>
      <w:szCs w:val="18"/>
    </w:rPr>
  </w:style>
  <w:style w:type="paragraph" w:customStyle="1" w:styleId="23">
    <w:name w:val="列表段落1"/>
    <w:basedOn w:val="1"/>
    <w:qFormat/>
    <w:uiPriority w:val="99"/>
    <w:pPr>
      <w:ind w:firstLine="420" w:firstLineChars="200"/>
    </w:pPr>
  </w:style>
  <w:style w:type="paragraph" w:customStyle="1" w:styleId="24">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25">
    <w:name w:val="列表段落2"/>
    <w:basedOn w:val="1"/>
    <w:qFormat/>
    <w:uiPriority w:val="99"/>
    <w:pPr>
      <w:ind w:firstLine="420" w:firstLineChars="200"/>
    </w:p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批注文字 字符"/>
    <w:basedOn w:val="13"/>
    <w:link w:val="6"/>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5"/>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870F8-BBF1-B945-885A-328C5C29BA11}">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3291</Words>
  <Characters>18765</Characters>
  <Lines>156</Lines>
  <Paragraphs>44</Paragraphs>
  <TotalTime>3</TotalTime>
  <ScaleCrop>false</ScaleCrop>
  <LinksUpToDate>false</LinksUpToDate>
  <CharactersWithSpaces>22012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2021-06-16T03:49:00Z</dcterms:created>
  <dc:creator>mio</dc:creator>
  <cp:lastModifiedBy>冷露</cp:lastModifiedBy>
  <cp:lastPrinted>2021-06-16T03:51:00Z</cp:lastPrinted>
  <dcterms:modified xsi:type="dcterms:W3CDTF">2021-06-18T06:30:52Z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5A02BBCE14304D4180A0B03C084E0383</vt:lpwstr>
  </property>
</Properties>
</file>